
<file path=[Content_Types].xml><?xml version="1.0" encoding="utf-8"?>
<Types xmlns="http://schemas.openxmlformats.org/package/2006/content-types">
  <Default Extension="jpeg" ContentType="image/jpeg"/>
  <Default Extension="png" ContentType="image/png"/>
  <Default Extension="xml" ContentType="application/xml"/>
  <Default Extension="emf" ContentType="image/x-emf"/>
  <Default Extension="rels" ContentType="application/vnd.openxmlformats-package.relationships+xml"/>
  <Override PartName="/word/theme/theme1.xml" ContentType="application/vnd.openxmlformats-officedocument.theme+xml"/>
  <Override PartName="/word/footer3.xml" ContentType="application/vnd.openxmlformats-officedocument.wordprocessingml.footer+xml"/>
  <Override PartName="/word/fontTable.xml" ContentType="application/vnd.openxmlformats-officedocument.wordprocessingml.fontTable+xml"/>
  <Override PartName="/word/header1.xml" ContentType="application/vnd.openxmlformats-officedocument.wordprocessingml.header+xml"/>
  <Override PartName="/word/footer2.xml" ContentType="application/vnd.openxmlformats-officedocument.wordprocessingml.footer+xml"/>
  <Override PartName="/word/media/image2.jpeg" ContentType="image/jpeg"/>
  <Override PartName="/word/header2.xml" ContentType="application/vnd.openxmlformats-officedocument.wordprocessingml.header+xml"/>
  <Override PartName="/word/header3.xml" ContentType="application/vnd.openxmlformats-officedocument.wordprocessingml.header+xml"/>
  <Override PartName="/word/media/image1.jpeg" ContentType="image/jpeg"/>
  <Override PartName="/word/media/image3.jpeg" ContentType="image/jpeg"/>
  <Override PartName="/docProps/custom.xml" ContentType="application/vnd.openxmlformats-officedocument.custom-properties+xml"/>
  <Override PartName="/word/media/image1.png" ContentType="image/png"/>
  <Override PartName="/word/settings.xml" ContentType="application/vnd.openxmlformats-officedocument.wordprocessingml.settings+xml"/>
  <Override PartName="/word/media/image2.png" ContentType="image/png"/>
  <Override PartName="/word/document.xml" ContentType="application/vnd.openxmlformats-officedocument.wordprocessingml.document.main+xml"/>
  <Override PartName="/word/media/image3.png" ContentType="image/png"/>
  <Override PartName="/word/media/image1.emf" ContentType="image/x-emf"/>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3" Type="http://schemas.openxmlformats.org/officeDocument/2006/relationships/custom-properties" Target="docProps/custom.xml" /><Relationship Id="rId2" Type="http://schemas.openxmlformats.org/officeDocument/2006/relationships/extended-properties" Target="docProps/app.xml" /><Relationship Id="rId1" Type="http://schemas.openxmlformats.org/package/2006/relationships/metadata/core-properties" Target="docProps/core.xml" /><Relationship Id="rId0" Type="http://schemas.openxmlformats.org/officeDocument/2006/relationships/officeDocument" Target="word/document.xml" /></Relationships>
</file>

<file path=word/document.xml><?xml version="1.0" encoding="utf-8"?>
<w:document xmlns:wpsCustomData="http://www.wps.cn/officeDocument/2013/wpsCustomData" xmlns:wps="http://schemas.microsoft.com/office/word/2010/wordprocessingShape" xmlns:wne="http://schemas.microsoft.com/office/word/2006/wordml" xmlns:cx4="http://schemas.microsoft.com/office/drawing/2016/5/10/chartex" xmlns:wpg="http://schemas.microsoft.com/office/word/2010/wordprocessingGroup" xmlns:w15="http://schemas.microsoft.com/office/word/2012/wordml" xmlns:wp14="http://schemas.microsoft.com/office/word/2010/wordprocessingDrawing" xmlns:v="urn:schemas-microsoft-com:vml" xmlns:o="urn:schemas-microsoft-com:office:office" xmlns:cx8="http://schemas.microsoft.com/office/drawing/2016/5/14/chartex" xmlns:cx6="http://schemas.microsoft.com/office/drawing/2016/5/12/chartex" xmlns:wpi="http://schemas.microsoft.com/office/word/2010/wordprocessingInk" xmlns:w10="urn:schemas-microsoft-com:office:word" xmlns:mc="http://schemas.openxmlformats.org/markup-compatibility/2006" xmlns:wp="http://schemas.openxmlformats.org/drawingml/2006/wordprocessingDrawing" xmlns:r="http://schemas.openxmlformats.org/officeDocument/2006/relationships" xmlns:cx5="http://schemas.microsoft.com/office/drawing/2016/5/11/chartex" xmlns:m="http://schemas.openxmlformats.org/officeDocument/2006/math" xmlns:cx3="http://schemas.microsoft.com/office/drawing/2016/5/9/chartex" xmlns:wpc="http://schemas.microsoft.com/office/word/2010/wordprocessingCanvas" xmlns:w14="http://schemas.microsoft.com/office/word/2010/wordml" xmlns:cx1="http://schemas.microsoft.com/office/drawing/2015/9/8/chartex" xmlns:cx="http://schemas.microsoft.com/office/drawing/2014/chartex" xmlns:w="http://schemas.openxmlformats.org/wordprocessingml/2006/main" xmlns:cx7="http://schemas.microsoft.com/office/drawing/2016/5/13/chartex" xmlns:cx2="http://schemas.microsoft.com/office/drawing/2015/10/21/chartex" mc:Ignorable="w14 w15 wp14">
  <w:body>
    <w:p w14:paraId="63C4BA86">
      <w:pPr>
        <w:rPr>
          <w:b w:val="1"/>
          <w:color w:val="auto"/>
          <w:sz w:val="72"/>
          <w:szCs w:val="72"/>
          <w:rFonts w:ascii="华文中宋" w:hAnsi="华文中宋" w:eastAsia="华文中宋" w:hint="eastAsia"/>
        </w:rPr>
      </w:pPr>
    </w:p>
    <w:p w14:paraId="24849661">
      <w:pPr>
        <w:jc w:val="center"/>
        <w:spacing w:line="720" w:lineRule="auto"/>
        <w:rPr>
          <w:b w:val="1"/>
          <w:color w:val="auto"/>
          <w:sz w:val="56"/>
          <w:szCs w:val="56"/>
          <w:rFonts w:ascii="华文中宋" w:hAnsi="华文中宋" w:eastAsia="华文中宋" w:hint="eastAsia"/>
        </w:rPr>
      </w:pPr>
      <w:r>
        <w:rPr>
          <w:b w:val="1"/>
          <w:color w:val="auto"/>
          <w:sz w:val="56"/>
          <w:szCs w:val="56"/>
          <w:rFonts w:ascii="华文中宋" w:hAnsi="华文中宋" w:eastAsia="华文中宋" w:hint="eastAsia"/>
        </w:rPr>
        <w:t>成都八一骨科</w:t>
      </w:r>
      <w:r>
        <w:rPr>
          <w:b w:val="1"/>
          <w:color w:val="auto"/>
          <w:sz w:val="56"/>
          <w:szCs w:val="56"/>
          <w:rFonts w:ascii="华文中宋" w:hAnsi="华文中宋" w:eastAsia="华文中宋"/>
        </w:rPr>
        <w:t>医院</w:t>
      </w:r>
    </w:p>
    <w:p w14:paraId="6CAB439D">
      <w:pPr>
        <w:jc w:val="center"/>
        <w:spacing w:line="720" w:lineRule="auto"/>
        <w:rPr>
          <w:b w:val="1"/>
          <w:color w:val="auto"/>
          <w:sz w:val="56"/>
          <w:szCs w:val="56"/>
          <w:rFonts w:ascii="华文中宋" w:hAnsi="华文中宋" w:eastAsia="华文中宋" w:hint="eastAsia"/>
        </w:rPr>
      </w:pPr>
      <w:r>
        <w:rPr>
          <w:b w:val="1"/>
          <w:color w:val="auto"/>
          <w:sz w:val="56"/>
          <w:szCs w:val="56"/>
          <w:rFonts w:ascii="华文中宋" w:hAnsi="华文中宋" w:eastAsia="华文中宋" w:hint="eastAsia"/>
        </w:rPr>
        <w:t>智慧用电运维管理系统</w:t>
      </w:r>
    </w:p>
    <w:p w14:paraId="10A239B6">
      <w:pPr>
        <w:spacing w:line="720" w:lineRule="auto"/>
        <w:ind w:firstLine="3243" w:firstLineChars="450"/>
        <w:rPr>
          <w:b w:val="1"/>
          <w:color w:val="auto"/>
          <w:sz w:val="72"/>
          <w:szCs w:val="72"/>
          <w:rFonts w:ascii="华文中宋" w:hAnsi="华文中宋" w:eastAsia="华文中宋" w:hint="eastAsia"/>
        </w:rPr>
      </w:pPr>
    </w:p>
    <w:p w14:paraId="75D6B398">
      <w:pPr>
        <w:spacing w:line="720" w:lineRule="auto"/>
        <w:ind w:firstLine="3243" w:firstLineChars="450"/>
        <w:rPr>
          <w:b w:val="1"/>
          <w:color w:val="auto"/>
          <w:sz w:val="72"/>
          <w:szCs w:val="72"/>
          <w:rFonts w:ascii="华文中宋" w:hAnsi="华文中宋" w:eastAsia="华文中宋" w:hint="eastAsia"/>
        </w:rPr>
      </w:pPr>
    </w:p>
    <w:p w14:paraId="014DD88C">
      <w:pPr>
        <w:jc w:val="center"/>
        <w:spacing w:line="720" w:lineRule="auto"/>
        <w:rPr>
          <w:b w:val="1"/>
          <w:color w:val="auto"/>
          <w:sz w:val="72"/>
          <w:szCs w:val="72"/>
          <w:rFonts w:ascii="华文中宋" w:hAnsi="华文中宋" w:eastAsia="华文中宋" w:hint="eastAsia"/>
        </w:rPr>
      </w:pPr>
      <w:r>
        <w:rPr>
          <w:b w:val="1"/>
          <w:color w:val="auto"/>
          <w:sz w:val="72"/>
          <w:szCs w:val="72"/>
          <w:rFonts w:ascii="华文中宋" w:hAnsi="华文中宋" w:eastAsia="华文中宋" w:hint="eastAsia"/>
        </w:rPr>
        <w:t>技术规范书</w:t>
      </w:r>
    </w:p>
    <w:p w14:paraId="227925BD">
      <w:pPr>
        <w:spacing w:line="720" w:lineRule="auto"/>
        <w:rPr>
          <w:color w:val="auto"/>
          <w:sz w:val="48"/>
          <w:szCs w:val="48"/>
          <w:rFonts w:ascii="宋体" w:hAnsi="宋体" w:eastAsia="宋体" w:hint="eastAsia"/>
        </w:rPr>
      </w:pPr>
    </w:p>
    <w:p w14:paraId="2E210950">
      <w:pPr>
        <w:spacing w:line="720" w:lineRule="auto"/>
        <w:rPr>
          <w:color w:val="auto"/>
          <w:sz w:val="48"/>
          <w:szCs w:val="48"/>
          <w:rFonts w:ascii="宋体" w:hAnsi="宋体" w:eastAsia="宋体" w:hint="eastAsia"/>
        </w:rPr>
      </w:pPr>
    </w:p>
    <w:p w14:paraId="10D736A4">
      <w:pPr>
        <w:spacing w:line="720" w:lineRule="auto"/>
        <w:rPr>
          <w:color w:val="auto"/>
          <w:sz w:val="48"/>
          <w:szCs w:val="48"/>
          <w:rFonts w:ascii="宋体" w:hAnsi="宋体" w:eastAsia="宋体" w:hint="eastAsia"/>
        </w:rPr>
      </w:pPr>
    </w:p>
    <w:p w14:paraId="431CEC2C">
      <w:pPr>
        <w:spacing w:line="720" w:lineRule="auto"/>
        <w:rPr>
          <w:color w:val="auto"/>
          <w:sz w:val="48"/>
          <w:szCs w:val="48"/>
          <w:rFonts w:ascii="宋体" w:hAnsi="宋体" w:eastAsia="宋体" w:hint="eastAsia"/>
        </w:rPr>
      </w:pPr>
    </w:p>
    <w:p w14:paraId="4152A784">
      <w:pPr>
        <w:spacing w:line="720" w:lineRule="auto"/>
        <w:rPr>
          <w:color w:val="auto"/>
          <w:sz w:val="48"/>
          <w:szCs w:val="48"/>
          <w:rFonts w:ascii="宋体" w:hAnsi="宋体" w:eastAsia="宋体" w:hint="eastAsia"/>
        </w:rPr>
      </w:pPr>
    </w:p>
    <w:p w14:paraId="75F6CF0C">
      <w:pPr>
        <w:jc w:val="center"/>
        <w:spacing w:line="720" w:lineRule="auto"/>
        <w:rPr>
          <w:b w:val="1"/>
          <w:color w:val="auto"/>
          <w:sz w:val="32"/>
          <w:bCs/>
          <w:szCs w:val="32"/>
          <w:rFonts w:ascii="宋体" w:hAnsi="宋体" w:eastAsia="宋体" w:hint="eastAsia"/>
        </w:rPr>
      </w:pPr>
    </w:p>
    <w:p w14:paraId="2E37E0C6">
      <w:pPr>
        <w:jc w:val="left"/>
        <w:rPr>
          <w:b w:val="1"/>
          <w:color w:val="auto"/>
          <w:sz w:val="28"/>
          <w:szCs w:val="28"/>
          <w:rFonts w:ascii="宋体" w:hAnsi="宋体" w:eastAsia="宋体" w:cs="宋体" w:hint="eastAsia"/>
        </w:rPr>
      </w:pPr>
    </w:p>
    <w:p w14:paraId="2EFF0E54">
      <w:pPr>
        <w:rPr>
          <w:b w:val="1"/>
          <w:color w:val="auto"/>
          <w:sz w:val="28"/>
          <w:szCs w:val="28"/>
          <w:rFonts w:hint="eastAsia"/>
        </w:rPr>
        <w:sectPr>
          <w:headerReference r:id="rId5" w:type="first"/>
          <w:headerReference r:id="rId6" w:type="default"/>
          <w:titlePg/>
          <w:type w:val="continuous"/>
          <w:docGrid w:type="lines" w:linePitch="312" w:charSpace="0"/>
          <w:pgSz w:w="11906" w:h="16838"/>
          <w:pgMar w:top="1418" w:right="1418" w:bottom="1418" w:left="1418" w:header="851" w:footer="992" w:gutter="0"/>
          <w:pgNumType w:start="1"/>
          <w:pgNumType w:start="1"/>
          <w:cols w:space="425" w:num="1"/>
        </w:sectPr>
      </w:pPr>
    </w:p>
    <w:p w14:paraId="5231E1ED">
      <w:pPr>
        <w:jc w:val="center"/>
        <w:spacing w:line="360" w:lineRule="auto"/>
        <w:rPr>
          <w:b w:val="1"/>
          <w:color w:val="auto"/>
          <w:sz w:val="36"/>
          <w:bCs/>
          <w:szCs w:val="36"/>
          <w:rFonts w:ascii="宋体" w:hAnsi="宋体" w:eastAsia="宋体"/>
        </w:rPr>
      </w:pPr>
      <w:r>
        <w:rPr>
          <w:b w:val="1"/>
          <w:color w:val="auto"/>
          <w:sz w:val="36"/>
          <w:bCs/>
          <w:szCs w:val="36"/>
          <w:rFonts w:ascii="宋体" w:hAnsi="宋体" w:eastAsia="宋体" w:hint="eastAsia"/>
        </w:rPr>
        <w:t>目   录</w:t>
      </w:r>
    </w:p>
    <w:p w14:paraId="2225838D">
      <w:pPr>
        <w:pStyle w:val="22"/>
        <w:tabs>
          <w:tab w:val="right" w:leader="dot" w:pos="9060"/>
        </w:tabs>
        <w:rPr>
          <w:b w:val="0"/>
          <w:color w:val="auto"/>
          <w:sz w:val="22"/>
          <w:bCs w:val="0"/>
          <w:szCs w:val="24"/>
          <w:rFonts w:hint="eastAsia" w:eastAsiaTheme="minorEastAsia"/>
        </w:rPr>
      </w:pPr>
      <w:r>
        <w:rPr>
          <w:color w:val="auto"/>
          <w:sz w:val="24"/>
          <w:szCs w:val="24"/>
          <w:rFonts w:ascii="宋体" w:hAnsi="宋体" w:eastAsia="宋体" w:hint="eastAsia"/>
        </w:rPr>
        <w:fldChar w:fldCharType="begin"/>
      </w:r>
      <w:r>
        <w:rPr>
          <w:color w:val="auto"/>
          <w:sz w:val="24"/>
          <w:szCs w:val="24"/>
          <w:rFonts w:ascii="宋体" w:hAnsi="宋体" w:eastAsia="宋体" w:hint="eastAsia"/>
        </w:rPr>
        <w:instrText xml:space="preserve"> TOC \o "1-3" \h \z \u </w:instrText>
      </w:r>
      <w:r>
        <w:rPr>
          <w:color w:val="auto"/>
          <w:sz w:val="24"/>
          <w:szCs w:val="24"/>
          <w:rFonts w:ascii="宋体" w:hAnsi="宋体" w:eastAsia="宋体" w:hint="eastAsia"/>
        </w:rPr>
        <w:fldChar w:fldCharType="separate"/>
      </w:r>
      <w:r>
        <w:rPr>
          <w:color w:val="auto"/>
        </w:rPr>
        <w:fldChar w:fldCharType="begin"/>
      </w:r>
      <w:r>
        <w:rPr>
          <w:color w:val="auto"/>
        </w:rPr>
        <w:instrText xml:space="preserve"> HYPERLINK \l "_Toc244176378" </w:instrText>
      </w:r>
      <w:r>
        <w:rPr>
          <w:color w:val="auto"/>
        </w:rPr>
        <w:fldChar w:fldCharType="separate"/>
      </w:r>
      <w:r>
        <w:rPr>
          <w:rStyle w:val="38"/>
          <w:color w:val="auto"/>
          <w:rFonts w:ascii="宋体" w:hAnsi="宋体" w:eastAsia="宋体"/>
        </w:rPr>
        <w:t>一、总则</w:t>
      </w:r>
      <w:r>
        <w:tab/>
        <w:rPr>
          <w:color w:val="auto"/>
          <w:rFonts w:hint="eastAsia"/>
        </w:rPr>
      </w:r>
      <w:r>
        <w:rPr>
          <w:color w:val="auto"/>
          <w:rFonts w:hint="eastAsia"/>
        </w:rPr>
        <w:fldChar w:fldCharType="begin"/>
      </w:r>
      <w:r>
        <w:rPr>
          <w:color w:val="auto"/>
          <w:rFonts w:hint="eastAsia"/>
        </w:rPr>
        <w:instrText xml:space="preserve"> </w:instrText>
      </w:r>
      <w:r>
        <w:rPr>
          <w:color w:val="auto"/>
        </w:rPr>
        <w:instrText xml:space="preserve">PAGEREF _Toc244176378 \h</w:instrText>
      </w:r>
      <w:r>
        <w:rPr>
          <w:color w:val="auto"/>
          <w:rFonts w:hint="eastAsia"/>
        </w:rPr>
        <w:instrText xml:space="preserve"> </w:instrText>
      </w:r>
      <w:r>
        <w:rPr>
          <w:color w:val="auto"/>
          <w:rFonts w:hint="eastAsia"/>
        </w:rPr>
        <w:fldChar w:fldCharType="separate"/>
      </w:r>
      <w:r>
        <w:rPr>
          <w:color w:val="auto"/>
          <w:rFonts w:hint="eastAsia"/>
        </w:rPr>
        <w:t>1</w:t>
      </w:r>
      <w:r>
        <w:rPr>
          <w:color w:val="auto"/>
          <w:rFonts w:hint="eastAsia"/>
        </w:rPr>
        <w:fldChar w:fldCharType="end"/>
      </w:r>
      <w:r>
        <w:rPr>
          <w:color w:val="auto"/>
          <w:rFonts w:hint="eastAsia"/>
        </w:rPr>
        <w:fldChar w:fldCharType="end"/>
      </w:r>
    </w:p>
    <w:p w14:paraId="14348327">
      <w:pPr>
        <w:pStyle w:val="26"/>
        <w:tabs>
          <w:tab w:val="right" w:leader="dot" w:pos="9060"/>
        </w:tabs>
        <w:rPr>
          <w:color w:val="auto"/>
          <w:sz w:val="22"/>
          <w:szCs w:val="24"/>
          <w:rFonts w:hint="eastAsia" w:eastAsiaTheme="minorEastAsia"/>
        </w:rPr>
      </w:pPr>
      <w:r>
        <w:rPr>
          <w:color w:val="auto"/>
        </w:rPr>
        <w:fldChar w:fldCharType="begin"/>
      </w:r>
      <w:r>
        <w:rPr>
          <w:color w:val="auto"/>
        </w:rPr>
        <w:instrText xml:space="preserve"> HYPERLINK \l "_Toc244176379" </w:instrText>
      </w:r>
      <w:r>
        <w:rPr>
          <w:color w:val="auto"/>
        </w:rPr>
        <w:fldChar w:fldCharType="separate"/>
      </w:r>
      <w:r>
        <w:rPr>
          <w:rStyle w:val="38"/>
          <w:b w:val="1"/>
          <w:color w:val="auto"/>
          <w:bCs/>
          <w:rFonts w:ascii="宋体" w:hAnsi="宋体" w:eastAsia="宋体"/>
        </w:rPr>
        <w:t>1.1 引言</w:t>
      </w:r>
      <w:r>
        <w:tab/>
        <w:rPr>
          <w:color w:val="auto"/>
          <w:rFonts w:hint="eastAsia"/>
        </w:rPr>
      </w:r>
      <w:r>
        <w:rPr>
          <w:color w:val="auto"/>
          <w:rFonts w:hint="eastAsia"/>
        </w:rPr>
        <w:fldChar w:fldCharType="begin"/>
      </w:r>
      <w:r>
        <w:rPr>
          <w:color w:val="auto"/>
          <w:rFonts w:hint="eastAsia"/>
        </w:rPr>
        <w:instrText xml:space="preserve"> </w:instrText>
      </w:r>
      <w:r>
        <w:rPr>
          <w:color w:val="auto"/>
        </w:rPr>
        <w:instrText xml:space="preserve">PAGEREF _Toc244176379 \h</w:instrText>
      </w:r>
      <w:r>
        <w:rPr>
          <w:color w:val="auto"/>
          <w:rFonts w:hint="eastAsia"/>
        </w:rPr>
        <w:instrText xml:space="preserve"> </w:instrText>
      </w:r>
      <w:r>
        <w:rPr>
          <w:color w:val="auto"/>
          <w:rFonts w:hint="eastAsia"/>
        </w:rPr>
        <w:fldChar w:fldCharType="separate"/>
      </w:r>
      <w:r>
        <w:rPr>
          <w:color w:val="auto"/>
          <w:rFonts w:hint="eastAsia"/>
        </w:rPr>
        <w:t>1</w:t>
      </w:r>
      <w:r>
        <w:rPr>
          <w:color w:val="auto"/>
          <w:rFonts w:hint="eastAsia"/>
        </w:rPr>
        <w:fldChar w:fldCharType="end"/>
      </w:r>
      <w:r>
        <w:rPr>
          <w:color w:val="auto"/>
          <w:rFonts w:hint="eastAsia"/>
        </w:rPr>
        <w:fldChar w:fldCharType="end"/>
      </w:r>
    </w:p>
    <w:p w14:paraId="3D983B38">
      <w:pPr>
        <w:pStyle w:val="26"/>
        <w:tabs>
          <w:tab w:val="right" w:leader="dot" w:pos="9060"/>
        </w:tabs>
        <w:rPr>
          <w:color w:val="auto"/>
          <w:sz w:val="22"/>
          <w:szCs w:val="24"/>
          <w:rFonts w:hint="eastAsia" w:eastAsiaTheme="minorEastAsia"/>
        </w:rPr>
      </w:pPr>
      <w:r>
        <w:rPr>
          <w:color w:val="auto"/>
        </w:rPr>
        <w:fldChar w:fldCharType="begin"/>
      </w:r>
      <w:r>
        <w:rPr>
          <w:color w:val="auto"/>
        </w:rPr>
        <w:instrText xml:space="preserve"> HYPERLINK \l "_Toc244176380" </w:instrText>
      </w:r>
      <w:r>
        <w:rPr>
          <w:color w:val="auto"/>
        </w:rPr>
        <w:fldChar w:fldCharType="separate"/>
      </w:r>
      <w:r>
        <w:rPr>
          <w:rStyle w:val="38"/>
          <w:b w:val="1"/>
          <w:color w:val="auto"/>
          <w:bCs/>
          <w:rFonts w:ascii="宋体" w:hAnsi="宋体" w:eastAsia="宋体"/>
        </w:rPr>
        <w:t>1.2　供方职责</w:t>
      </w:r>
      <w:r>
        <w:tab/>
        <w:rPr>
          <w:color w:val="auto"/>
          <w:rFonts w:hint="eastAsia"/>
        </w:rPr>
      </w:r>
      <w:r>
        <w:rPr>
          <w:color w:val="auto"/>
          <w:rFonts w:hint="eastAsia"/>
        </w:rPr>
        <w:fldChar w:fldCharType="begin"/>
      </w:r>
      <w:r>
        <w:rPr>
          <w:color w:val="auto"/>
          <w:rFonts w:hint="eastAsia"/>
        </w:rPr>
        <w:instrText xml:space="preserve"> </w:instrText>
      </w:r>
      <w:r>
        <w:rPr>
          <w:color w:val="auto"/>
        </w:rPr>
        <w:instrText xml:space="preserve">PAGEREF _Toc244176380 \h</w:instrText>
      </w:r>
      <w:r>
        <w:rPr>
          <w:color w:val="auto"/>
          <w:rFonts w:hint="eastAsia"/>
        </w:rPr>
        <w:instrText xml:space="preserve"> </w:instrText>
      </w:r>
      <w:r>
        <w:rPr>
          <w:color w:val="auto"/>
          <w:rFonts w:hint="eastAsia"/>
        </w:rPr>
        <w:fldChar w:fldCharType="separate"/>
      </w:r>
      <w:r>
        <w:rPr>
          <w:color w:val="auto"/>
          <w:rFonts w:hint="eastAsia"/>
        </w:rPr>
        <w:t>1</w:t>
      </w:r>
      <w:r>
        <w:rPr>
          <w:color w:val="auto"/>
          <w:rFonts w:hint="eastAsia"/>
        </w:rPr>
        <w:fldChar w:fldCharType="end"/>
      </w:r>
      <w:r>
        <w:rPr>
          <w:color w:val="auto"/>
          <w:rFonts w:hint="eastAsia"/>
        </w:rPr>
        <w:fldChar w:fldCharType="end"/>
      </w:r>
    </w:p>
    <w:p w14:paraId="1424BB33">
      <w:pPr>
        <w:pStyle w:val="22"/>
        <w:tabs>
          <w:tab w:val="right" w:leader="dot" w:pos="9060"/>
        </w:tabs>
        <w:rPr>
          <w:b w:val="0"/>
          <w:color w:val="auto"/>
          <w:sz w:val="22"/>
          <w:bCs w:val="0"/>
          <w:szCs w:val="24"/>
          <w:rFonts w:hint="eastAsia" w:eastAsiaTheme="minorEastAsia"/>
        </w:rPr>
      </w:pPr>
      <w:r>
        <w:rPr>
          <w:color w:val="auto"/>
        </w:rPr>
        <w:fldChar w:fldCharType="begin"/>
      </w:r>
      <w:r>
        <w:rPr>
          <w:color w:val="auto"/>
        </w:rPr>
        <w:instrText xml:space="preserve"> HYPERLINK \l "_Toc244176381" </w:instrText>
      </w:r>
      <w:r>
        <w:rPr>
          <w:color w:val="auto"/>
        </w:rPr>
        <w:fldChar w:fldCharType="separate"/>
      </w:r>
      <w:r>
        <w:rPr>
          <w:rStyle w:val="38"/>
          <w:color w:val="auto"/>
          <w:rFonts w:ascii="宋体" w:hAnsi="宋体" w:eastAsia="宋体"/>
        </w:rPr>
        <w:t>二、项目现状</w:t>
      </w:r>
      <w:r>
        <w:tab/>
        <w:rPr>
          <w:color w:val="auto"/>
          <w:rFonts w:hint="eastAsia"/>
        </w:rPr>
      </w:r>
      <w:r>
        <w:rPr>
          <w:color w:val="auto"/>
          <w:rFonts w:hint="eastAsia"/>
        </w:rPr>
        <w:fldChar w:fldCharType="begin"/>
      </w:r>
      <w:r>
        <w:rPr>
          <w:color w:val="auto"/>
          <w:rFonts w:hint="eastAsia"/>
        </w:rPr>
        <w:instrText xml:space="preserve"> </w:instrText>
      </w:r>
      <w:r>
        <w:rPr>
          <w:color w:val="auto"/>
        </w:rPr>
        <w:instrText xml:space="preserve">PAGEREF _Toc244176381 \h</w:instrText>
      </w:r>
      <w:r>
        <w:rPr>
          <w:color w:val="auto"/>
          <w:rFonts w:hint="eastAsia"/>
        </w:rPr>
        <w:instrText xml:space="preserve"> </w:instrText>
      </w:r>
      <w:r>
        <w:rPr>
          <w:color w:val="auto"/>
          <w:rFonts w:hint="eastAsia"/>
        </w:rPr>
        <w:fldChar w:fldCharType="separate"/>
      </w:r>
      <w:r>
        <w:rPr>
          <w:color w:val="auto"/>
          <w:rFonts w:hint="eastAsia"/>
        </w:rPr>
        <w:t>2</w:t>
      </w:r>
      <w:r>
        <w:rPr>
          <w:color w:val="auto"/>
          <w:rFonts w:hint="eastAsia"/>
        </w:rPr>
        <w:fldChar w:fldCharType="end"/>
      </w:r>
      <w:r>
        <w:rPr>
          <w:color w:val="auto"/>
          <w:rFonts w:hint="eastAsia"/>
        </w:rPr>
        <w:fldChar w:fldCharType="end"/>
      </w:r>
    </w:p>
    <w:p w14:paraId="602E3D8F">
      <w:pPr>
        <w:pStyle w:val="26"/>
        <w:tabs>
          <w:tab w:val="right" w:leader="dot" w:pos="9060"/>
        </w:tabs>
        <w:rPr>
          <w:color w:val="auto"/>
          <w:sz w:val="22"/>
          <w:szCs w:val="24"/>
          <w:rFonts w:hint="eastAsia" w:eastAsiaTheme="minorEastAsia"/>
        </w:rPr>
      </w:pPr>
      <w:r>
        <w:rPr>
          <w:color w:val="auto"/>
        </w:rPr>
        <w:fldChar w:fldCharType="begin"/>
      </w:r>
      <w:r>
        <w:rPr>
          <w:color w:val="auto"/>
        </w:rPr>
        <w:instrText xml:space="preserve"> HYPERLINK \l "_Toc244176382" </w:instrText>
      </w:r>
      <w:r>
        <w:rPr>
          <w:color w:val="auto"/>
        </w:rPr>
        <w:fldChar w:fldCharType="separate"/>
      </w:r>
      <w:r>
        <w:rPr>
          <w:rStyle w:val="38"/>
          <w:b w:val="1"/>
          <w:color w:val="auto"/>
          <w:bCs/>
          <w:rFonts w:ascii="宋体" w:hAnsi="宋体" w:eastAsia="宋体"/>
        </w:rPr>
        <w:t>2.1 配电室概况</w:t>
      </w:r>
      <w:r>
        <w:tab/>
        <w:rPr>
          <w:color w:val="auto"/>
          <w:rFonts w:hint="eastAsia"/>
        </w:rPr>
      </w:r>
      <w:r>
        <w:rPr>
          <w:color w:val="auto"/>
          <w:rFonts w:hint="eastAsia"/>
        </w:rPr>
        <w:fldChar w:fldCharType="begin"/>
      </w:r>
      <w:r>
        <w:rPr>
          <w:color w:val="auto"/>
          <w:rFonts w:hint="eastAsia"/>
        </w:rPr>
        <w:instrText xml:space="preserve"> </w:instrText>
      </w:r>
      <w:r>
        <w:rPr>
          <w:color w:val="auto"/>
        </w:rPr>
        <w:instrText xml:space="preserve">PAGEREF _Toc244176382 \h</w:instrText>
      </w:r>
      <w:r>
        <w:rPr>
          <w:color w:val="auto"/>
          <w:rFonts w:hint="eastAsia"/>
        </w:rPr>
        <w:instrText xml:space="preserve"> </w:instrText>
      </w:r>
      <w:r>
        <w:rPr>
          <w:color w:val="auto"/>
          <w:rFonts w:hint="eastAsia"/>
        </w:rPr>
        <w:fldChar w:fldCharType="separate"/>
      </w:r>
      <w:r>
        <w:rPr>
          <w:color w:val="auto"/>
          <w:rFonts w:hint="eastAsia"/>
        </w:rPr>
        <w:t>2</w:t>
      </w:r>
      <w:r>
        <w:rPr>
          <w:color w:val="auto"/>
          <w:rFonts w:hint="eastAsia"/>
        </w:rPr>
        <w:fldChar w:fldCharType="end"/>
      </w:r>
      <w:r>
        <w:rPr>
          <w:color w:val="auto"/>
          <w:rFonts w:hint="eastAsia"/>
        </w:rPr>
        <w:fldChar w:fldCharType="end"/>
      </w:r>
    </w:p>
    <w:p w14:paraId="68FC9354">
      <w:pPr>
        <w:pStyle w:val="26"/>
        <w:tabs>
          <w:tab w:val="right" w:leader="dot" w:pos="9060"/>
        </w:tabs>
        <w:rPr>
          <w:color w:val="auto"/>
          <w:sz w:val="22"/>
          <w:szCs w:val="24"/>
          <w:rFonts w:hint="eastAsia" w:eastAsiaTheme="minorEastAsia"/>
        </w:rPr>
      </w:pPr>
      <w:r>
        <w:rPr>
          <w:color w:val="auto"/>
        </w:rPr>
        <w:fldChar w:fldCharType="begin"/>
      </w:r>
      <w:r>
        <w:rPr>
          <w:color w:val="auto"/>
        </w:rPr>
        <w:instrText xml:space="preserve"> HYPERLINK \l "_Toc244176383" </w:instrText>
      </w:r>
      <w:r>
        <w:rPr>
          <w:color w:val="auto"/>
        </w:rPr>
        <w:fldChar w:fldCharType="separate"/>
      </w:r>
      <w:r>
        <w:rPr>
          <w:rStyle w:val="38"/>
          <w:b w:val="1"/>
          <w:color w:val="auto"/>
          <w:bCs/>
          <w:rFonts w:ascii="宋体" w:hAnsi="宋体" w:eastAsia="宋体"/>
        </w:rPr>
        <w:t>2.2 问题分析</w:t>
      </w:r>
      <w:r>
        <w:tab/>
        <w:rPr>
          <w:color w:val="auto"/>
          <w:rFonts w:hint="eastAsia"/>
        </w:rPr>
      </w:r>
      <w:r>
        <w:rPr>
          <w:color w:val="auto"/>
          <w:rFonts w:hint="eastAsia"/>
        </w:rPr>
        <w:fldChar w:fldCharType="begin"/>
      </w:r>
      <w:r>
        <w:rPr>
          <w:color w:val="auto"/>
          <w:rFonts w:hint="eastAsia"/>
        </w:rPr>
        <w:instrText xml:space="preserve"> </w:instrText>
      </w:r>
      <w:r>
        <w:rPr>
          <w:color w:val="auto"/>
        </w:rPr>
        <w:instrText xml:space="preserve">PAGEREF _Toc244176383 \h</w:instrText>
      </w:r>
      <w:r>
        <w:rPr>
          <w:color w:val="auto"/>
          <w:rFonts w:hint="eastAsia"/>
        </w:rPr>
        <w:instrText xml:space="preserve"> </w:instrText>
      </w:r>
      <w:r>
        <w:rPr>
          <w:color w:val="auto"/>
          <w:rFonts w:hint="eastAsia"/>
        </w:rPr>
        <w:fldChar w:fldCharType="separate"/>
      </w:r>
      <w:r>
        <w:rPr>
          <w:color w:val="auto"/>
          <w:rFonts w:hint="eastAsia"/>
        </w:rPr>
        <w:t>5</w:t>
      </w:r>
      <w:r>
        <w:rPr>
          <w:color w:val="auto"/>
          <w:rFonts w:hint="eastAsia"/>
        </w:rPr>
        <w:fldChar w:fldCharType="end"/>
      </w:r>
      <w:r>
        <w:rPr>
          <w:color w:val="auto"/>
          <w:rFonts w:hint="eastAsia"/>
        </w:rPr>
        <w:fldChar w:fldCharType="end"/>
      </w:r>
    </w:p>
    <w:p w14:paraId="3CACEB70">
      <w:pPr>
        <w:pStyle w:val="22"/>
        <w:tabs>
          <w:tab w:val="right" w:leader="dot" w:pos="9060"/>
        </w:tabs>
        <w:rPr>
          <w:b w:val="0"/>
          <w:color w:val="auto"/>
          <w:sz w:val="22"/>
          <w:bCs w:val="0"/>
          <w:szCs w:val="24"/>
          <w:rFonts w:hint="eastAsia" w:eastAsiaTheme="minorEastAsia"/>
        </w:rPr>
      </w:pPr>
      <w:r>
        <w:rPr>
          <w:color w:val="auto"/>
        </w:rPr>
        <w:fldChar w:fldCharType="begin"/>
      </w:r>
      <w:r>
        <w:rPr>
          <w:color w:val="auto"/>
        </w:rPr>
        <w:instrText xml:space="preserve"> HYPERLINK \l "_Toc244176384" </w:instrText>
      </w:r>
      <w:r>
        <w:rPr>
          <w:color w:val="auto"/>
        </w:rPr>
        <w:fldChar w:fldCharType="separate"/>
      </w:r>
      <w:r>
        <w:rPr>
          <w:rStyle w:val="38"/>
          <w:color w:val="auto"/>
          <w:rFonts w:ascii="宋体" w:hAnsi="宋体" w:eastAsia="宋体"/>
        </w:rPr>
        <w:t>三、总体设计方案</w:t>
      </w:r>
      <w:r>
        <w:tab/>
        <w:rPr>
          <w:color w:val="auto"/>
          <w:rFonts w:hint="eastAsia"/>
        </w:rPr>
      </w:r>
      <w:r>
        <w:rPr>
          <w:color w:val="auto"/>
          <w:rFonts w:hint="eastAsia"/>
        </w:rPr>
        <w:fldChar w:fldCharType="begin"/>
      </w:r>
      <w:r>
        <w:rPr>
          <w:color w:val="auto"/>
          <w:rFonts w:hint="eastAsia"/>
        </w:rPr>
        <w:instrText xml:space="preserve"> </w:instrText>
      </w:r>
      <w:r>
        <w:rPr>
          <w:color w:val="auto"/>
        </w:rPr>
        <w:instrText xml:space="preserve">PAGEREF _Toc244176384 \h</w:instrText>
      </w:r>
      <w:r>
        <w:rPr>
          <w:color w:val="auto"/>
          <w:rFonts w:hint="eastAsia"/>
        </w:rPr>
        <w:instrText xml:space="preserve"> </w:instrText>
      </w:r>
      <w:r>
        <w:rPr>
          <w:color w:val="auto"/>
          <w:rFonts w:hint="eastAsia"/>
        </w:rPr>
        <w:fldChar w:fldCharType="separate"/>
      </w:r>
      <w:r>
        <w:rPr>
          <w:color w:val="auto"/>
          <w:rFonts w:hint="eastAsia"/>
        </w:rPr>
        <w:t>6</w:t>
      </w:r>
      <w:r>
        <w:rPr>
          <w:color w:val="auto"/>
          <w:rFonts w:hint="eastAsia"/>
        </w:rPr>
        <w:fldChar w:fldCharType="end"/>
      </w:r>
      <w:r>
        <w:rPr>
          <w:color w:val="auto"/>
          <w:rFonts w:hint="eastAsia"/>
        </w:rPr>
        <w:fldChar w:fldCharType="end"/>
      </w:r>
    </w:p>
    <w:p w14:paraId="50D0ED12">
      <w:pPr>
        <w:pStyle w:val="26"/>
        <w:tabs>
          <w:tab w:val="right" w:leader="dot" w:pos="9060"/>
        </w:tabs>
        <w:rPr>
          <w:color w:val="auto"/>
          <w:sz w:val="22"/>
          <w:szCs w:val="24"/>
          <w:rFonts w:hint="eastAsia" w:eastAsiaTheme="minorEastAsia"/>
        </w:rPr>
      </w:pPr>
      <w:r>
        <w:rPr>
          <w:color w:val="auto"/>
        </w:rPr>
        <w:fldChar w:fldCharType="begin"/>
      </w:r>
      <w:r>
        <w:rPr>
          <w:color w:val="auto"/>
        </w:rPr>
        <w:instrText xml:space="preserve"> HYPERLINK \l "_Toc244176385" </w:instrText>
      </w:r>
      <w:r>
        <w:rPr>
          <w:color w:val="auto"/>
        </w:rPr>
        <w:fldChar w:fldCharType="separate"/>
      </w:r>
      <w:r>
        <w:rPr>
          <w:rStyle w:val="38"/>
          <w:b w:val="1"/>
          <w:color w:val="auto"/>
          <w:bCs/>
          <w:rFonts w:ascii="宋体" w:hAnsi="宋体" w:eastAsia="宋体"/>
        </w:rPr>
        <w:t>3.1 设计原则</w:t>
      </w:r>
      <w:r>
        <w:tab/>
        <w:rPr>
          <w:color w:val="auto"/>
          <w:rFonts w:hint="eastAsia"/>
        </w:rPr>
      </w:r>
      <w:r>
        <w:rPr>
          <w:color w:val="auto"/>
          <w:rFonts w:hint="eastAsia"/>
        </w:rPr>
        <w:fldChar w:fldCharType="begin"/>
      </w:r>
      <w:r>
        <w:rPr>
          <w:color w:val="auto"/>
          <w:rFonts w:hint="eastAsia"/>
        </w:rPr>
        <w:instrText xml:space="preserve"> </w:instrText>
      </w:r>
      <w:r>
        <w:rPr>
          <w:color w:val="auto"/>
        </w:rPr>
        <w:instrText xml:space="preserve">PAGEREF _Toc244176385 \h</w:instrText>
      </w:r>
      <w:r>
        <w:rPr>
          <w:color w:val="auto"/>
          <w:rFonts w:hint="eastAsia"/>
        </w:rPr>
        <w:instrText xml:space="preserve"> </w:instrText>
      </w:r>
      <w:r>
        <w:rPr>
          <w:color w:val="auto"/>
          <w:rFonts w:hint="eastAsia"/>
        </w:rPr>
        <w:fldChar w:fldCharType="separate"/>
      </w:r>
      <w:r>
        <w:rPr>
          <w:color w:val="auto"/>
          <w:rFonts w:hint="eastAsia"/>
        </w:rPr>
        <w:t>6</w:t>
      </w:r>
      <w:r>
        <w:rPr>
          <w:color w:val="auto"/>
          <w:rFonts w:hint="eastAsia"/>
        </w:rPr>
        <w:fldChar w:fldCharType="end"/>
      </w:r>
      <w:r>
        <w:rPr>
          <w:color w:val="auto"/>
          <w:rFonts w:hint="eastAsia"/>
        </w:rPr>
        <w:fldChar w:fldCharType="end"/>
      </w:r>
    </w:p>
    <w:p w14:paraId="7A23AD04">
      <w:pPr>
        <w:pStyle w:val="26"/>
        <w:tabs>
          <w:tab w:val="right" w:leader="dot" w:pos="9060"/>
        </w:tabs>
        <w:rPr>
          <w:color w:val="auto"/>
          <w:sz w:val="22"/>
          <w:szCs w:val="24"/>
          <w:rFonts w:hint="eastAsia" w:eastAsiaTheme="minorEastAsia"/>
        </w:rPr>
      </w:pPr>
      <w:r>
        <w:rPr>
          <w:color w:val="auto"/>
        </w:rPr>
        <w:fldChar w:fldCharType="begin"/>
      </w:r>
      <w:r>
        <w:rPr>
          <w:color w:val="auto"/>
        </w:rPr>
        <w:instrText xml:space="preserve"> HYPERLINK \l "_Toc244176386" </w:instrText>
      </w:r>
      <w:r>
        <w:rPr>
          <w:color w:val="auto"/>
        </w:rPr>
        <w:fldChar w:fldCharType="separate"/>
      </w:r>
      <w:r>
        <w:rPr>
          <w:rStyle w:val="38"/>
          <w:b w:val="1"/>
          <w:color w:val="auto"/>
          <w:bCs/>
          <w:rFonts w:ascii="宋体" w:hAnsi="宋体" w:eastAsia="宋体"/>
        </w:rPr>
        <w:t>3.2 设计标准及规范</w:t>
      </w:r>
      <w:r>
        <w:tab/>
        <w:rPr>
          <w:color w:val="auto"/>
          <w:rFonts w:hint="eastAsia"/>
        </w:rPr>
      </w:r>
      <w:r>
        <w:rPr>
          <w:color w:val="auto"/>
          <w:rFonts w:hint="eastAsia"/>
        </w:rPr>
        <w:fldChar w:fldCharType="begin"/>
      </w:r>
      <w:r>
        <w:rPr>
          <w:color w:val="auto"/>
          <w:rFonts w:hint="eastAsia"/>
        </w:rPr>
        <w:instrText xml:space="preserve"> </w:instrText>
      </w:r>
      <w:r>
        <w:rPr>
          <w:color w:val="auto"/>
        </w:rPr>
        <w:instrText xml:space="preserve">PAGEREF _Toc244176386 \h</w:instrText>
      </w:r>
      <w:r>
        <w:rPr>
          <w:color w:val="auto"/>
          <w:rFonts w:hint="eastAsia"/>
        </w:rPr>
        <w:instrText xml:space="preserve"> </w:instrText>
      </w:r>
      <w:r>
        <w:rPr>
          <w:color w:val="auto"/>
          <w:rFonts w:hint="eastAsia"/>
        </w:rPr>
        <w:fldChar w:fldCharType="separate"/>
      </w:r>
      <w:r>
        <w:rPr>
          <w:color w:val="auto"/>
          <w:rFonts w:hint="eastAsia"/>
        </w:rPr>
        <w:t>7</w:t>
      </w:r>
      <w:r>
        <w:rPr>
          <w:color w:val="auto"/>
          <w:rFonts w:hint="eastAsia"/>
        </w:rPr>
        <w:fldChar w:fldCharType="end"/>
      </w:r>
      <w:r>
        <w:rPr>
          <w:color w:val="auto"/>
          <w:rFonts w:hint="eastAsia"/>
        </w:rPr>
        <w:fldChar w:fldCharType="end"/>
      </w:r>
    </w:p>
    <w:p w14:paraId="45B17EB8">
      <w:pPr>
        <w:pStyle w:val="26"/>
        <w:tabs>
          <w:tab w:val="right" w:leader="dot" w:pos="9060"/>
        </w:tabs>
        <w:rPr>
          <w:color w:val="auto"/>
          <w:sz w:val="22"/>
          <w:szCs w:val="24"/>
          <w:rFonts w:hint="eastAsia" w:eastAsiaTheme="minorEastAsia"/>
        </w:rPr>
      </w:pPr>
      <w:r>
        <w:rPr>
          <w:color w:val="auto"/>
        </w:rPr>
        <w:fldChar w:fldCharType="begin"/>
      </w:r>
      <w:r>
        <w:rPr>
          <w:color w:val="auto"/>
        </w:rPr>
        <w:instrText xml:space="preserve"> HYPERLINK \l "_Toc244176387" </w:instrText>
      </w:r>
      <w:r>
        <w:rPr>
          <w:color w:val="auto"/>
        </w:rPr>
        <w:fldChar w:fldCharType="separate"/>
      </w:r>
      <w:r>
        <w:rPr>
          <w:rStyle w:val="38"/>
          <w:b w:val="1"/>
          <w:color w:val="auto"/>
          <w:bCs/>
          <w:rFonts w:ascii="宋体" w:hAnsi="宋体" w:eastAsia="宋体"/>
        </w:rPr>
        <w:t>3.3 总体思路</w:t>
      </w:r>
      <w:r>
        <w:tab/>
        <w:rPr>
          <w:color w:val="auto"/>
          <w:rFonts w:hint="eastAsia"/>
        </w:rPr>
      </w:r>
      <w:r>
        <w:rPr>
          <w:color w:val="auto"/>
          <w:rFonts w:hint="eastAsia"/>
        </w:rPr>
        <w:fldChar w:fldCharType="begin"/>
      </w:r>
      <w:r>
        <w:rPr>
          <w:color w:val="auto"/>
          <w:rFonts w:hint="eastAsia"/>
        </w:rPr>
        <w:instrText xml:space="preserve"> </w:instrText>
      </w:r>
      <w:r>
        <w:rPr>
          <w:color w:val="auto"/>
        </w:rPr>
        <w:instrText xml:space="preserve">PAGEREF _Toc244176387 \h</w:instrText>
      </w:r>
      <w:r>
        <w:rPr>
          <w:color w:val="auto"/>
          <w:rFonts w:hint="eastAsia"/>
        </w:rPr>
        <w:instrText xml:space="preserve"> </w:instrText>
      </w:r>
      <w:r>
        <w:rPr>
          <w:color w:val="auto"/>
          <w:rFonts w:hint="eastAsia"/>
        </w:rPr>
        <w:fldChar w:fldCharType="separate"/>
      </w:r>
      <w:r>
        <w:rPr>
          <w:color w:val="auto"/>
          <w:rFonts w:hint="eastAsia"/>
        </w:rPr>
        <w:t>9</w:t>
      </w:r>
      <w:r>
        <w:rPr>
          <w:color w:val="auto"/>
          <w:rFonts w:hint="eastAsia"/>
        </w:rPr>
        <w:fldChar w:fldCharType="end"/>
      </w:r>
      <w:r>
        <w:rPr>
          <w:color w:val="auto"/>
          <w:rFonts w:hint="eastAsia"/>
        </w:rPr>
        <w:fldChar w:fldCharType="end"/>
      </w:r>
    </w:p>
    <w:p w14:paraId="455733E2">
      <w:pPr>
        <w:pStyle w:val="26"/>
        <w:tabs>
          <w:tab w:val="right" w:leader="dot" w:pos="9060"/>
        </w:tabs>
        <w:rPr>
          <w:color w:val="auto"/>
          <w:sz w:val="22"/>
          <w:szCs w:val="24"/>
          <w:rFonts w:hint="eastAsia" w:eastAsiaTheme="minorEastAsia"/>
        </w:rPr>
      </w:pPr>
      <w:r>
        <w:rPr>
          <w:color w:val="auto"/>
        </w:rPr>
        <w:fldChar w:fldCharType="begin"/>
      </w:r>
      <w:r>
        <w:rPr>
          <w:color w:val="auto"/>
        </w:rPr>
        <w:instrText xml:space="preserve"> HYPERLINK \l "_Toc244176388" </w:instrText>
      </w:r>
      <w:r>
        <w:rPr>
          <w:color w:val="auto"/>
        </w:rPr>
        <w:fldChar w:fldCharType="separate"/>
      </w:r>
      <w:r>
        <w:rPr>
          <w:rStyle w:val="38"/>
          <w:b w:val="1"/>
          <w:color w:val="auto"/>
          <w:bCs/>
          <w:rFonts w:ascii="宋体" w:hAnsi="宋体" w:eastAsia="宋体"/>
        </w:rPr>
        <w:t>3.4 方案架构</w:t>
      </w:r>
      <w:r>
        <w:tab/>
        <w:rPr>
          <w:color w:val="auto"/>
          <w:rFonts w:hint="eastAsia"/>
        </w:rPr>
      </w:r>
      <w:r>
        <w:rPr>
          <w:color w:val="auto"/>
          <w:rFonts w:hint="eastAsia"/>
        </w:rPr>
        <w:fldChar w:fldCharType="begin"/>
      </w:r>
      <w:r>
        <w:rPr>
          <w:color w:val="auto"/>
          <w:rFonts w:hint="eastAsia"/>
        </w:rPr>
        <w:instrText xml:space="preserve"> </w:instrText>
      </w:r>
      <w:r>
        <w:rPr>
          <w:color w:val="auto"/>
        </w:rPr>
        <w:instrText xml:space="preserve">PAGEREF _Toc244176388 \h</w:instrText>
      </w:r>
      <w:r>
        <w:rPr>
          <w:color w:val="auto"/>
          <w:rFonts w:hint="eastAsia"/>
        </w:rPr>
        <w:instrText xml:space="preserve"> </w:instrText>
      </w:r>
      <w:r>
        <w:rPr>
          <w:color w:val="auto"/>
          <w:rFonts w:hint="eastAsia"/>
        </w:rPr>
        <w:fldChar w:fldCharType="separate"/>
      </w:r>
      <w:r>
        <w:rPr>
          <w:color w:val="auto"/>
          <w:rFonts w:hint="eastAsia"/>
        </w:rPr>
        <w:t>10</w:t>
      </w:r>
      <w:r>
        <w:rPr>
          <w:color w:val="auto"/>
          <w:rFonts w:hint="eastAsia"/>
        </w:rPr>
        <w:fldChar w:fldCharType="end"/>
      </w:r>
      <w:r>
        <w:rPr>
          <w:color w:val="auto"/>
          <w:rFonts w:hint="eastAsia"/>
        </w:rPr>
        <w:fldChar w:fldCharType="end"/>
      </w:r>
    </w:p>
    <w:p w14:paraId="3D6E332D">
      <w:pPr>
        <w:pStyle w:val="22"/>
        <w:tabs>
          <w:tab w:val="right" w:leader="dot" w:pos="9060"/>
        </w:tabs>
        <w:rPr>
          <w:b w:val="0"/>
          <w:color w:val="auto"/>
          <w:sz w:val="22"/>
          <w:bCs w:val="0"/>
          <w:szCs w:val="24"/>
          <w:rFonts w:hint="eastAsia" w:eastAsiaTheme="minorEastAsia"/>
        </w:rPr>
      </w:pPr>
      <w:r>
        <w:rPr>
          <w:color w:val="auto"/>
        </w:rPr>
        <w:fldChar w:fldCharType="begin"/>
      </w:r>
      <w:r>
        <w:rPr>
          <w:color w:val="auto"/>
        </w:rPr>
        <w:instrText xml:space="preserve"> HYPERLINK \l "_Toc244176389" </w:instrText>
      </w:r>
      <w:r>
        <w:rPr>
          <w:color w:val="auto"/>
        </w:rPr>
        <w:fldChar w:fldCharType="separate"/>
      </w:r>
      <w:r>
        <w:rPr>
          <w:rStyle w:val="38"/>
          <w:color w:val="auto"/>
          <w:rFonts w:ascii="宋体" w:hAnsi="宋体" w:eastAsia="宋体"/>
        </w:rPr>
        <w:t>四、智能用电运维管理系统技术要求</w:t>
      </w:r>
      <w:r>
        <w:tab/>
        <w:rPr>
          <w:color w:val="auto"/>
          <w:rFonts w:hint="eastAsia"/>
        </w:rPr>
      </w:r>
      <w:r>
        <w:rPr>
          <w:color w:val="auto"/>
          <w:rFonts w:hint="eastAsia"/>
        </w:rPr>
        <w:fldChar w:fldCharType="begin"/>
      </w:r>
      <w:r>
        <w:rPr>
          <w:color w:val="auto"/>
          <w:rFonts w:hint="eastAsia"/>
        </w:rPr>
        <w:instrText xml:space="preserve"> </w:instrText>
      </w:r>
      <w:r>
        <w:rPr>
          <w:color w:val="auto"/>
        </w:rPr>
        <w:instrText xml:space="preserve">PAGEREF _Toc244176389 \h</w:instrText>
      </w:r>
      <w:r>
        <w:rPr>
          <w:color w:val="auto"/>
          <w:rFonts w:hint="eastAsia"/>
        </w:rPr>
        <w:instrText xml:space="preserve"> </w:instrText>
      </w:r>
      <w:r>
        <w:rPr>
          <w:color w:val="auto"/>
          <w:rFonts w:hint="eastAsia"/>
        </w:rPr>
        <w:fldChar w:fldCharType="separate"/>
      </w:r>
      <w:r>
        <w:rPr>
          <w:color w:val="auto"/>
          <w:rFonts w:hint="eastAsia"/>
        </w:rPr>
        <w:t>11</w:t>
      </w:r>
      <w:r>
        <w:rPr>
          <w:color w:val="auto"/>
          <w:rFonts w:hint="eastAsia"/>
        </w:rPr>
        <w:fldChar w:fldCharType="end"/>
      </w:r>
      <w:r>
        <w:rPr>
          <w:color w:val="auto"/>
          <w:rFonts w:hint="eastAsia"/>
        </w:rPr>
        <w:fldChar w:fldCharType="end"/>
      </w:r>
    </w:p>
    <w:p w14:paraId="47AE2987">
      <w:pPr>
        <w:pStyle w:val="26"/>
        <w:tabs>
          <w:tab w:val="right" w:leader="dot" w:pos="9060"/>
        </w:tabs>
        <w:rPr>
          <w:color w:val="auto"/>
          <w:sz w:val="22"/>
          <w:szCs w:val="24"/>
          <w:rFonts w:hint="eastAsia" w:eastAsiaTheme="minorEastAsia"/>
        </w:rPr>
      </w:pPr>
      <w:r>
        <w:rPr>
          <w:color w:val="auto"/>
        </w:rPr>
        <w:fldChar w:fldCharType="begin"/>
      </w:r>
      <w:r>
        <w:rPr>
          <w:color w:val="auto"/>
        </w:rPr>
        <w:instrText xml:space="preserve"> HYPERLINK \l "_Toc244176390" </w:instrText>
      </w:r>
      <w:r>
        <w:rPr>
          <w:color w:val="auto"/>
        </w:rPr>
        <w:fldChar w:fldCharType="separate"/>
      </w:r>
      <w:r>
        <w:rPr>
          <w:rStyle w:val="38"/>
          <w:b w:val="1"/>
          <w:color w:val="auto"/>
          <w:bCs/>
          <w:rFonts w:ascii="宋体" w:hAnsi="宋体" w:eastAsia="宋体"/>
        </w:rPr>
        <w:t>4.1 电力监控装置</w:t>
      </w:r>
      <w:r>
        <w:tab/>
        <w:rPr>
          <w:color w:val="auto"/>
          <w:rFonts w:hint="eastAsia"/>
        </w:rPr>
      </w:r>
      <w:r>
        <w:rPr>
          <w:color w:val="auto"/>
          <w:rFonts w:hint="eastAsia"/>
        </w:rPr>
        <w:fldChar w:fldCharType="begin"/>
      </w:r>
      <w:r>
        <w:rPr>
          <w:color w:val="auto"/>
          <w:rFonts w:hint="eastAsia"/>
        </w:rPr>
        <w:instrText xml:space="preserve"> </w:instrText>
      </w:r>
      <w:r>
        <w:rPr>
          <w:color w:val="auto"/>
        </w:rPr>
        <w:instrText xml:space="preserve">PAGEREF _Toc244176390 \h</w:instrText>
      </w:r>
      <w:r>
        <w:rPr>
          <w:color w:val="auto"/>
          <w:rFonts w:hint="eastAsia"/>
        </w:rPr>
        <w:instrText xml:space="preserve"> </w:instrText>
      </w:r>
      <w:r>
        <w:rPr>
          <w:color w:val="auto"/>
          <w:rFonts w:hint="eastAsia"/>
        </w:rPr>
        <w:fldChar w:fldCharType="separate"/>
      </w:r>
      <w:r>
        <w:rPr>
          <w:color w:val="auto"/>
          <w:rFonts w:hint="eastAsia"/>
        </w:rPr>
        <w:t>11</w:t>
      </w:r>
      <w:r>
        <w:rPr>
          <w:color w:val="auto"/>
          <w:rFonts w:hint="eastAsia"/>
        </w:rPr>
        <w:fldChar w:fldCharType="end"/>
      </w:r>
      <w:r>
        <w:rPr>
          <w:color w:val="auto"/>
          <w:rFonts w:hint="eastAsia"/>
        </w:rPr>
        <w:fldChar w:fldCharType="end"/>
      </w:r>
    </w:p>
    <w:p w14:paraId="7F7BF442">
      <w:pPr>
        <w:pStyle w:val="15"/>
        <w:tabs>
          <w:tab w:val="right" w:leader="dot" w:pos="9060"/>
        </w:tabs>
        <w:rPr>
          <w:i w:val="0"/>
          <w:color w:val="auto"/>
          <w:sz w:val="22"/>
          <w:iCs w:val="0"/>
          <w:szCs w:val="24"/>
          <w:rFonts w:hint="eastAsia" w:eastAsiaTheme="minorEastAsia"/>
        </w:rPr>
      </w:pPr>
      <w:r>
        <w:rPr>
          <w:color w:val="auto"/>
        </w:rPr>
        <w:fldChar w:fldCharType="begin"/>
      </w:r>
      <w:r>
        <w:rPr>
          <w:color w:val="auto"/>
        </w:rPr>
        <w:instrText xml:space="preserve"> HYPERLINK \l "_Toc244176391" </w:instrText>
      </w:r>
      <w:r>
        <w:rPr>
          <w:color w:val="auto"/>
        </w:rPr>
        <w:fldChar w:fldCharType="separate"/>
      </w:r>
      <w:r>
        <w:rPr>
          <w:rStyle w:val="38"/>
          <w:b w:val="1"/>
          <w:i w:val="0"/>
          <w:color w:val="auto"/>
          <w:bCs/>
          <w:iCs w:val="0"/>
          <w:rFonts w:ascii="宋体" w:hAnsi="宋体" w:eastAsia="宋体"/>
        </w:rPr>
        <w:t>4.1.1 配电箱漏电保护装置</w:t>
      </w:r>
      <w:r>
        <w:tab/>
        <w:rPr>
          <w:i w:val="0"/>
          <w:color w:val="auto"/>
          <w:iCs w:val="0"/>
          <w:rFonts w:hint="eastAsia"/>
        </w:rPr>
      </w:r>
      <w:r>
        <w:rPr>
          <w:i w:val="0"/>
          <w:color w:val="auto"/>
          <w:iCs w:val="0"/>
          <w:rFonts w:hint="eastAsia"/>
        </w:rPr>
        <w:fldChar w:fldCharType="begin"/>
      </w:r>
      <w:r>
        <w:rPr>
          <w:i w:val="0"/>
          <w:color w:val="auto"/>
          <w:iCs w:val="0"/>
          <w:rFonts w:hint="eastAsia"/>
        </w:rPr>
        <w:instrText xml:space="preserve"> </w:instrText>
      </w:r>
      <w:r>
        <w:rPr>
          <w:i w:val="0"/>
          <w:color w:val="auto"/>
          <w:iCs w:val="0"/>
        </w:rPr>
        <w:instrText xml:space="preserve">PAGEREF _Toc244176391 \h</w:instrText>
      </w:r>
      <w:r>
        <w:rPr>
          <w:i w:val="0"/>
          <w:color w:val="auto"/>
          <w:iCs w:val="0"/>
          <w:rFonts w:hint="eastAsia"/>
        </w:rPr>
        <w:instrText xml:space="preserve"> </w:instrText>
      </w:r>
      <w:r>
        <w:rPr>
          <w:i w:val="0"/>
          <w:color w:val="auto"/>
          <w:iCs w:val="0"/>
          <w:rFonts w:hint="eastAsia"/>
        </w:rPr>
        <w:fldChar w:fldCharType="separate"/>
      </w:r>
      <w:r>
        <w:rPr>
          <w:i w:val="0"/>
          <w:color w:val="auto"/>
          <w:iCs w:val="0"/>
          <w:rFonts w:hint="eastAsia"/>
        </w:rPr>
        <w:t>11</w:t>
      </w:r>
      <w:r>
        <w:rPr>
          <w:i w:val="0"/>
          <w:color w:val="auto"/>
          <w:iCs w:val="0"/>
          <w:rFonts w:hint="eastAsia"/>
        </w:rPr>
        <w:fldChar w:fldCharType="end"/>
      </w:r>
      <w:r>
        <w:rPr>
          <w:i w:val="0"/>
          <w:color w:val="auto"/>
          <w:iCs w:val="0"/>
          <w:rFonts w:hint="eastAsia"/>
        </w:rPr>
        <w:fldChar w:fldCharType="end"/>
      </w:r>
    </w:p>
    <w:p w14:paraId="51568E79">
      <w:pPr>
        <w:pStyle w:val="15"/>
        <w:tabs>
          <w:tab w:val="right" w:leader="dot" w:pos="9060"/>
        </w:tabs>
        <w:rPr>
          <w:i w:val="0"/>
          <w:color w:val="auto"/>
          <w:sz w:val="22"/>
          <w:iCs w:val="0"/>
          <w:szCs w:val="24"/>
          <w:rFonts w:hint="eastAsia" w:eastAsiaTheme="minorEastAsia"/>
        </w:rPr>
      </w:pPr>
      <w:r>
        <w:rPr>
          <w:color w:val="auto"/>
        </w:rPr>
        <w:fldChar w:fldCharType="begin"/>
      </w:r>
      <w:r>
        <w:rPr>
          <w:color w:val="auto"/>
        </w:rPr>
        <w:instrText xml:space="preserve"> HYPERLINK \l "_Toc244176392" </w:instrText>
      </w:r>
      <w:r>
        <w:rPr>
          <w:color w:val="auto"/>
        </w:rPr>
        <w:fldChar w:fldCharType="separate"/>
      </w:r>
      <w:r>
        <w:rPr>
          <w:rStyle w:val="38"/>
          <w:b w:val="1"/>
          <w:i w:val="0"/>
          <w:color w:val="auto"/>
          <w:bCs/>
          <w:iCs w:val="0"/>
          <w:rFonts w:ascii="宋体" w:hAnsi="宋体" w:eastAsia="宋体"/>
        </w:rPr>
        <w:t>4.1.2 低压抽屉柜智能监测仪表</w:t>
      </w:r>
      <w:r>
        <w:tab/>
        <w:rPr>
          <w:i w:val="0"/>
          <w:color w:val="auto"/>
          <w:iCs w:val="0"/>
          <w:rFonts w:hint="eastAsia"/>
        </w:rPr>
      </w:r>
      <w:r>
        <w:rPr>
          <w:i w:val="0"/>
          <w:color w:val="auto"/>
          <w:iCs w:val="0"/>
          <w:rFonts w:hint="eastAsia"/>
        </w:rPr>
        <w:fldChar w:fldCharType="begin"/>
      </w:r>
      <w:r>
        <w:rPr>
          <w:i w:val="0"/>
          <w:color w:val="auto"/>
          <w:iCs w:val="0"/>
          <w:rFonts w:hint="eastAsia"/>
        </w:rPr>
        <w:instrText xml:space="preserve"> </w:instrText>
      </w:r>
      <w:r>
        <w:rPr>
          <w:i w:val="0"/>
          <w:color w:val="auto"/>
          <w:iCs w:val="0"/>
        </w:rPr>
        <w:instrText xml:space="preserve">PAGEREF _Toc244176392 \h</w:instrText>
      </w:r>
      <w:r>
        <w:rPr>
          <w:i w:val="0"/>
          <w:color w:val="auto"/>
          <w:iCs w:val="0"/>
          <w:rFonts w:hint="eastAsia"/>
        </w:rPr>
        <w:instrText xml:space="preserve"> </w:instrText>
      </w:r>
      <w:r>
        <w:rPr>
          <w:i w:val="0"/>
          <w:color w:val="auto"/>
          <w:iCs w:val="0"/>
          <w:rFonts w:hint="eastAsia"/>
        </w:rPr>
        <w:fldChar w:fldCharType="separate"/>
      </w:r>
      <w:r>
        <w:rPr>
          <w:i w:val="0"/>
          <w:color w:val="auto"/>
          <w:iCs w:val="0"/>
          <w:rFonts w:hint="eastAsia"/>
        </w:rPr>
        <w:t>13</w:t>
      </w:r>
      <w:r>
        <w:rPr>
          <w:i w:val="0"/>
          <w:color w:val="auto"/>
          <w:iCs w:val="0"/>
          <w:rFonts w:hint="eastAsia"/>
        </w:rPr>
        <w:fldChar w:fldCharType="end"/>
      </w:r>
      <w:r>
        <w:rPr>
          <w:i w:val="0"/>
          <w:color w:val="auto"/>
          <w:iCs w:val="0"/>
          <w:rFonts w:hint="eastAsia"/>
        </w:rPr>
        <w:fldChar w:fldCharType="end"/>
      </w:r>
    </w:p>
    <w:p w14:paraId="00A49399">
      <w:pPr>
        <w:pStyle w:val="15"/>
        <w:tabs>
          <w:tab w:val="right" w:leader="dot" w:pos="9060"/>
        </w:tabs>
        <w:rPr>
          <w:i w:val="0"/>
          <w:color w:val="auto"/>
          <w:sz w:val="22"/>
          <w:iCs w:val="0"/>
          <w:szCs w:val="24"/>
          <w:rFonts w:hint="eastAsia" w:eastAsiaTheme="minorEastAsia"/>
        </w:rPr>
      </w:pPr>
      <w:r>
        <w:rPr>
          <w:color w:val="auto"/>
        </w:rPr>
        <w:fldChar w:fldCharType="begin"/>
      </w:r>
      <w:r>
        <w:rPr>
          <w:color w:val="auto"/>
        </w:rPr>
        <w:instrText xml:space="preserve"> HYPERLINK \l "_Toc244176393" </w:instrText>
      </w:r>
      <w:r>
        <w:rPr>
          <w:color w:val="auto"/>
        </w:rPr>
        <w:fldChar w:fldCharType="separate"/>
      </w:r>
      <w:r>
        <w:rPr>
          <w:rStyle w:val="38"/>
          <w:b w:val="1"/>
          <w:i w:val="0"/>
          <w:color w:val="auto"/>
          <w:bCs/>
          <w:iCs w:val="0"/>
          <w:rFonts w:ascii="宋体" w:hAnsi="宋体" w:eastAsia="宋体"/>
        </w:rPr>
        <w:t>4.1.3 高压开关柜智能监测装置</w:t>
      </w:r>
      <w:r>
        <w:tab/>
        <w:rPr>
          <w:i w:val="0"/>
          <w:color w:val="auto"/>
          <w:iCs w:val="0"/>
          <w:rFonts w:hint="eastAsia"/>
        </w:rPr>
      </w:r>
      <w:r>
        <w:rPr>
          <w:i w:val="0"/>
          <w:color w:val="auto"/>
          <w:iCs w:val="0"/>
          <w:rFonts w:hint="eastAsia"/>
        </w:rPr>
        <w:fldChar w:fldCharType="begin"/>
      </w:r>
      <w:r>
        <w:rPr>
          <w:i w:val="0"/>
          <w:color w:val="auto"/>
          <w:iCs w:val="0"/>
          <w:rFonts w:hint="eastAsia"/>
        </w:rPr>
        <w:instrText xml:space="preserve"> </w:instrText>
      </w:r>
      <w:r>
        <w:rPr>
          <w:i w:val="0"/>
          <w:color w:val="auto"/>
          <w:iCs w:val="0"/>
        </w:rPr>
        <w:instrText xml:space="preserve">PAGEREF _Toc244176393 \h</w:instrText>
      </w:r>
      <w:r>
        <w:rPr>
          <w:i w:val="0"/>
          <w:color w:val="auto"/>
          <w:iCs w:val="0"/>
          <w:rFonts w:hint="eastAsia"/>
        </w:rPr>
        <w:instrText xml:space="preserve"> </w:instrText>
      </w:r>
      <w:r>
        <w:rPr>
          <w:i w:val="0"/>
          <w:color w:val="auto"/>
          <w:iCs w:val="0"/>
          <w:rFonts w:hint="eastAsia"/>
        </w:rPr>
        <w:fldChar w:fldCharType="separate"/>
      </w:r>
      <w:r>
        <w:rPr>
          <w:i w:val="0"/>
          <w:color w:val="auto"/>
          <w:iCs w:val="0"/>
          <w:rFonts w:hint="eastAsia"/>
        </w:rPr>
        <w:t>15</w:t>
      </w:r>
      <w:r>
        <w:rPr>
          <w:i w:val="0"/>
          <w:color w:val="auto"/>
          <w:iCs w:val="0"/>
          <w:rFonts w:hint="eastAsia"/>
        </w:rPr>
        <w:fldChar w:fldCharType="end"/>
      </w:r>
      <w:r>
        <w:rPr>
          <w:i w:val="0"/>
          <w:color w:val="auto"/>
          <w:iCs w:val="0"/>
          <w:rFonts w:hint="eastAsia"/>
        </w:rPr>
        <w:fldChar w:fldCharType="end"/>
      </w:r>
    </w:p>
    <w:p w14:paraId="44BF0DAD">
      <w:pPr>
        <w:pStyle w:val="15"/>
        <w:tabs>
          <w:tab w:val="right" w:leader="dot" w:pos="9060"/>
        </w:tabs>
        <w:rPr>
          <w:i w:val="0"/>
          <w:color w:val="auto"/>
          <w:sz w:val="22"/>
          <w:iCs w:val="0"/>
          <w:szCs w:val="24"/>
          <w:rFonts w:hint="eastAsia" w:eastAsiaTheme="minorEastAsia"/>
        </w:rPr>
      </w:pPr>
      <w:r>
        <w:rPr>
          <w:color w:val="auto"/>
        </w:rPr>
        <w:fldChar w:fldCharType="begin"/>
      </w:r>
      <w:r>
        <w:rPr>
          <w:color w:val="auto"/>
        </w:rPr>
        <w:instrText xml:space="preserve"> HYPERLINK \l "_Toc244176394" </w:instrText>
      </w:r>
      <w:r>
        <w:rPr>
          <w:color w:val="auto"/>
        </w:rPr>
        <w:fldChar w:fldCharType="separate"/>
      </w:r>
      <w:r>
        <w:rPr>
          <w:rStyle w:val="38"/>
          <w:b w:val="1"/>
          <w:i w:val="0"/>
          <w:color w:val="auto"/>
          <w:bCs/>
          <w:iCs w:val="0"/>
          <w:rFonts w:ascii="宋体" w:hAnsi="宋体" w:eastAsia="宋体"/>
        </w:rPr>
        <w:t>4.1.4 电力设备智能温度监测</w:t>
      </w:r>
      <w:r>
        <w:tab/>
        <w:rPr>
          <w:i w:val="0"/>
          <w:color w:val="auto"/>
          <w:iCs w:val="0"/>
          <w:rFonts w:hint="eastAsia"/>
        </w:rPr>
      </w:r>
      <w:r>
        <w:rPr>
          <w:i w:val="0"/>
          <w:color w:val="auto"/>
          <w:iCs w:val="0"/>
          <w:rFonts w:hint="eastAsia"/>
        </w:rPr>
        <w:fldChar w:fldCharType="begin"/>
      </w:r>
      <w:r>
        <w:rPr>
          <w:i w:val="0"/>
          <w:color w:val="auto"/>
          <w:iCs w:val="0"/>
          <w:rFonts w:hint="eastAsia"/>
        </w:rPr>
        <w:instrText xml:space="preserve"> </w:instrText>
      </w:r>
      <w:r>
        <w:rPr>
          <w:i w:val="0"/>
          <w:color w:val="auto"/>
          <w:iCs w:val="0"/>
        </w:rPr>
        <w:instrText xml:space="preserve">PAGEREF _Toc244176394 \h</w:instrText>
      </w:r>
      <w:r>
        <w:rPr>
          <w:i w:val="0"/>
          <w:color w:val="auto"/>
          <w:iCs w:val="0"/>
          <w:rFonts w:hint="eastAsia"/>
        </w:rPr>
        <w:instrText xml:space="preserve"> </w:instrText>
      </w:r>
      <w:r>
        <w:rPr>
          <w:i w:val="0"/>
          <w:color w:val="auto"/>
          <w:iCs w:val="0"/>
          <w:rFonts w:hint="eastAsia"/>
        </w:rPr>
        <w:fldChar w:fldCharType="separate"/>
      </w:r>
      <w:r>
        <w:rPr>
          <w:i w:val="0"/>
          <w:color w:val="auto"/>
          <w:iCs w:val="0"/>
          <w:rFonts w:hint="eastAsia"/>
        </w:rPr>
        <w:t>16</w:t>
      </w:r>
      <w:r>
        <w:rPr>
          <w:i w:val="0"/>
          <w:color w:val="auto"/>
          <w:iCs w:val="0"/>
          <w:rFonts w:hint="eastAsia"/>
        </w:rPr>
        <w:fldChar w:fldCharType="end"/>
      </w:r>
      <w:r>
        <w:rPr>
          <w:i w:val="0"/>
          <w:color w:val="auto"/>
          <w:iCs w:val="0"/>
          <w:rFonts w:hint="eastAsia"/>
        </w:rPr>
        <w:fldChar w:fldCharType="end"/>
      </w:r>
    </w:p>
    <w:p w14:paraId="707C8F6C">
      <w:pPr>
        <w:pStyle w:val="15"/>
        <w:tabs>
          <w:tab w:val="right" w:leader="dot" w:pos="9060"/>
        </w:tabs>
        <w:rPr>
          <w:i w:val="0"/>
          <w:color w:val="auto"/>
          <w:sz w:val="22"/>
          <w:iCs w:val="0"/>
          <w:szCs w:val="24"/>
          <w:rFonts w:hint="eastAsia" w:eastAsiaTheme="minorEastAsia"/>
        </w:rPr>
      </w:pPr>
      <w:r>
        <w:rPr>
          <w:color w:val="auto"/>
        </w:rPr>
        <w:fldChar w:fldCharType="begin"/>
      </w:r>
      <w:r>
        <w:rPr>
          <w:color w:val="auto"/>
        </w:rPr>
        <w:instrText xml:space="preserve"> HYPERLINK \l "_Toc244176395" </w:instrText>
      </w:r>
      <w:r>
        <w:rPr>
          <w:color w:val="auto"/>
        </w:rPr>
        <w:fldChar w:fldCharType="separate"/>
      </w:r>
      <w:r>
        <w:rPr>
          <w:rStyle w:val="38"/>
          <w:b w:val="1"/>
          <w:i w:val="0"/>
          <w:color w:val="auto"/>
          <w:bCs/>
          <w:iCs w:val="0"/>
          <w:rFonts w:ascii="宋体" w:hAnsi="宋体" w:eastAsia="宋体"/>
        </w:rPr>
        <w:t>4.1.5 火灾自动报警系统</w:t>
      </w:r>
      <w:r>
        <w:tab/>
        <w:rPr>
          <w:i w:val="0"/>
          <w:color w:val="auto"/>
          <w:iCs w:val="0"/>
          <w:rFonts w:hint="eastAsia"/>
        </w:rPr>
      </w:r>
      <w:r>
        <w:rPr>
          <w:i w:val="0"/>
          <w:color w:val="auto"/>
          <w:iCs w:val="0"/>
          <w:rFonts w:hint="eastAsia"/>
        </w:rPr>
        <w:fldChar w:fldCharType="begin"/>
      </w:r>
      <w:r>
        <w:rPr>
          <w:i w:val="0"/>
          <w:color w:val="auto"/>
          <w:iCs w:val="0"/>
          <w:rFonts w:hint="eastAsia"/>
        </w:rPr>
        <w:instrText xml:space="preserve"> </w:instrText>
      </w:r>
      <w:r>
        <w:rPr>
          <w:i w:val="0"/>
          <w:color w:val="auto"/>
          <w:iCs w:val="0"/>
        </w:rPr>
        <w:instrText xml:space="preserve">PAGEREF _Toc244176395 \h</w:instrText>
      </w:r>
      <w:r>
        <w:rPr>
          <w:i w:val="0"/>
          <w:color w:val="auto"/>
          <w:iCs w:val="0"/>
          <w:rFonts w:hint="eastAsia"/>
        </w:rPr>
        <w:instrText xml:space="preserve"> </w:instrText>
      </w:r>
      <w:r>
        <w:rPr>
          <w:i w:val="0"/>
          <w:color w:val="auto"/>
          <w:iCs w:val="0"/>
          <w:rFonts w:hint="eastAsia"/>
        </w:rPr>
        <w:fldChar w:fldCharType="separate"/>
      </w:r>
      <w:r>
        <w:rPr>
          <w:i w:val="0"/>
          <w:color w:val="auto"/>
          <w:iCs w:val="0"/>
          <w:rFonts w:hint="eastAsia"/>
        </w:rPr>
        <w:t>18</w:t>
      </w:r>
      <w:r>
        <w:rPr>
          <w:i w:val="0"/>
          <w:color w:val="auto"/>
          <w:iCs w:val="0"/>
          <w:rFonts w:hint="eastAsia"/>
        </w:rPr>
        <w:fldChar w:fldCharType="end"/>
      </w:r>
      <w:r>
        <w:rPr>
          <w:i w:val="0"/>
          <w:color w:val="auto"/>
          <w:iCs w:val="0"/>
          <w:rFonts w:hint="eastAsia"/>
        </w:rPr>
        <w:fldChar w:fldCharType="end"/>
      </w:r>
    </w:p>
    <w:p w14:paraId="759704E9">
      <w:pPr>
        <w:pStyle w:val="15"/>
        <w:tabs>
          <w:tab w:val="right" w:leader="dot" w:pos="9060"/>
        </w:tabs>
        <w:rPr>
          <w:i w:val="0"/>
          <w:color w:val="auto"/>
          <w:sz w:val="22"/>
          <w:iCs w:val="0"/>
          <w:szCs w:val="24"/>
          <w:rFonts w:hint="eastAsia" w:eastAsiaTheme="minorEastAsia"/>
        </w:rPr>
      </w:pPr>
      <w:r>
        <w:rPr>
          <w:color w:val="auto"/>
        </w:rPr>
        <w:fldChar w:fldCharType="begin"/>
      </w:r>
      <w:r>
        <w:rPr>
          <w:color w:val="auto"/>
        </w:rPr>
        <w:instrText xml:space="preserve"> HYPERLINK \l "_Toc244176396" </w:instrText>
      </w:r>
      <w:r>
        <w:rPr>
          <w:color w:val="auto"/>
        </w:rPr>
        <w:fldChar w:fldCharType="separate"/>
      </w:r>
      <w:r>
        <w:rPr>
          <w:rStyle w:val="38"/>
          <w:b w:val="1"/>
          <w:i w:val="0"/>
          <w:color w:val="auto"/>
          <w:bCs/>
          <w:iCs w:val="0"/>
          <w:rFonts w:ascii="宋体" w:hAnsi="宋体" w:eastAsia="宋体"/>
        </w:rPr>
        <w:t>4.1.6 水浸装置</w:t>
      </w:r>
      <w:r>
        <w:tab/>
        <w:rPr>
          <w:i w:val="0"/>
          <w:color w:val="auto"/>
          <w:iCs w:val="0"/>
          <w:rFonts w:hint="eastAsia"/>
        </w:rPr>
      </w:r>
      <w:r>
        <w:rPr>
          <w:i w:val="0"/>
          <w:color w:val="auto"/>
          <w:iCs w:val="0"/>
          <w:rFonts w:hint="eastAsia"/>
        </w:rPr>
        <w:fldChar w:fldCharType="begin"/>
      </w:r>
      <w:r>
        <w:rPr>
          <w:i w:val="0"/>
          <w:color w:val="auto"/>
          <w:iCs w:val="0"/>
          <w:rFonts w:hint="eastAsia"/>
        </w:rPr>
        <w:instrText xml:space="preserve"> </w:instrText>
      </w:r>
      <w:r>
        <w:rPr>
          <w:i w:val="0"/>
          <w:color w:val="auto"/>
          <w:iCs w:val="0"/>
        </w:rPr>
        <w:instrText xml:space="preserve">PAGEREF _Toc244176396 \h</w:instrText>
      </w:r>
      <w:r>
        <w:rPr>
          <w:i w:val="0"/>
          <w:color w:val="auto"/>
          <w:iCs w:val="0"/>
          <w:rFonts w:hint="eastAsia"/>
        </w:rPr>
        <w:instrText xml:space="preserve"> </w:instrText>
      </w:r>
      <w:r>
        <w:rPr>
          <w:i w:val="0"/>
          <w:color w:val="auto"/>
          <w:iCs w:val="0"/>
          <w:rFonts w:hint="eastAsia"/>
        </w:rPr>
        <w:fldChar w:fldCharType="separate"/>
      </w:r>
      <w:r>
        <w:rPr>
          <w:i w:val="0"/>
          <w:color w:val="auto"/>
          <w:iCs w:val="0"/>
          <w:rFonts w:hint="eastAsia"/>
        </w:rPr>
        <w:t>18</w:t>
      </w:r>
      <w:r>
        <w:rPr>
          <w:i w:val="0"/>
          <w:color w:val="auto"/>
          <w:iCs w:val="0"/>
          <w:rFonts w:hint="eastAsia"/>
        </w:rPr>
        <w:fldChar w:fldCharType="end"/>
      </w:r>
      <w:r>
        <w:rPr>
          <w:i w:val="0"/>
          <w:color w:val="auto"/>
          <w:iCs w:val="0"/>
          <w:rFonts w:hint="eastAsia"/>
        </w:rPr>
        <w:fldChar w:fldCharType="end"/>
      </w:r>
    </w:p>
    <w:p w14:paraId="3DA46764">
      <w:pPr>
        <w:pStyle w:val="15"/>
        <w:tabs>
          <w:tab w:val="right" w:leader="dot" w:pos="9060"/>
        </w:tabs>
        <w:rPr>
          <w:i w:val="0"/>
          <w:color w:val="auto"/>
          <w:sz w:val="22"/>
          <w:iCs w:val="0"/>
          <w:szCs w:val="24"/>
          <w:rFonts w:hint="eastAsia" w:eastAsiaTheme="minorEastAsia"/>
        </w:rPr>
      </w:pPr>
      <w:r>
        <w:rPr>
          <w:color w:val="auto"/>
        </w:rPr>
        <w:fldChar w:fldCharType="begin"/>
      </w:r>
      <w:r>
        <w:rPr>
          <w:color w:val="auto"/>
        </w:rPr>
        <w:instrText xml:space="preserve"> HYPERLINK \l "_Toc244176397" </w:instrText>
      </w:r>
      <w:r>
        <w:rPr>
          <w:color w:val="auto"/>
        </w:rPr>
        <w:fldChar w:fldCharType="separate"/>
      </w:r>
      <w:r>
        <w:rPr>
          <w:rStyle w:val="38"/>
          <w:b w:val="1"/>
          <w:i w:val="0"/>
          <w:color w:val="auto"/>
          <w:bCs/>
          <w:iCs w:val="0"/>
          <w:rFonts w:ascii="宋体" w:hAnsi="宋体" w:eastAsia="宋体"/>
        </w:rPr>
        <w:t>4.1.7 门禁装置</w:t>
      </w:r>
      <w:r>
        <w:tab/>
        <w:rPr>
          <w:i w:val="0"/>
          <w:color w:val="auto"/>
          <w:iCs w:val="0"/>
          <w:rFonts w:hint="eastAsia"/>
        </w:rPr>
      </w:r>
      <w:r>
        <w:rPr>
          <w:i w:val="0"/>
          <w:color w:val="auto"/>
          <w:iCs w:val="0"/>
          <w:rFonts w:hint="eastAsia"/>
        </w:rPr>
        <w:fldChar w:fldCharType="begin"/>
      </w:r>
      <w:r>
        <w:rPr>
          <w:i w:val="0"/>
          <w:color w:val="auto"/>
          <w:iCs w:val="0"/>
          <w:rFonts w:hint="eastAsia"/>
        </w:rPr>
        <w:instrText xml:space="preserve"> </w:instrText>
      </w:r>
      <w:r>
        <w:rPr>
          <w:i w:val="0"/>
          <w:color w:val="auto"/>
          <w:iCs w:val="0"/>
        </w:rPr>
        <w:instrText xml:space="preserve">PAGEREF _Toc244176397 \h</w:instrText>
      </w:r>
      <w:r>
        <w:rPr>
          <w:i w:val="0"/>
          <w:color w:val="auto"/>
          <w:iCs w:val="0"/>
          <w:rFonts w:hint="eastAsia"/>
        </w:rPr>
        <w:instrText xml:space="preserve"> </w:instrText>
      </w:r>
      <w:r>
        <w:rPr>
          <w:i w:val="0"/>
          <w:color w:val="auto"/>
          <w:iCs w:val="0"/>
          <w:rFonts w:hint="eastAsia"/>
        </w:rPr>
        <w:fldChar w:fldCharType="separate"/>
      </w:r>
      <w:r>
        <w:rPr>
          <w:i w:val="0"/>
          <w:color w:val="auto"/>
          <w:iCs w:val="0"/>
          <w:rFonts w:hint="eastAsia"/>
        </w:rPr>
        <w:t>19</w:t>
      </w:r>
      <w:r>
        <w:rPr>
          <w:i w:val="0"/>
          <w:color w:val="auto"/>
          <w:iCs w:val="0"/>
          <w:rFonts w:hint="eastAsia"/>
        </w:rPr>
        <w:fldChar w:fldCharType="end"/>
      </w:r>
      <w:r>
        <w:rPr>
          <w:i w:val="0"/>
          <w:color w:val="auto"/>
          <w:iCs w:val="0"/>
          <w:rFonts w:hint="eastAsia"/>
        </w:rPr>
        <w:fldChar w:fldCharType="end"/>
      </w:r>
    </w:p>
    <w:p w14:paraId="671F2DD5">
      <w:pPr>
        <w:pStyle w:val="15"/>
        <w:tabs>
          <w:tab w:val="right" w:leader="dot" w:pos="9060"/>
        </w:tabs>
        <w:rPr>
          <w:i w:val="0"/>
          <w:color w:val="auto"/>
          <w:sz w:val="22"/>
          <w:iCs w:val="0"/>
          <w:szCs w:val="24"/>
          <w:rFonts w:hint="eastAsia" w:eastAsiaTheme="minorEastAsia"/>
        </w:rPr>
      </w:pPr>
      <w:r>
        <w:rPr>
          <w:color w:val="auto"/>
        </w:rPr>
        <w:fldChar w:fldCharType="begin"/>
      </w:r>
      <w:r>
        <w:rPr>
          <w:color w:val="auto"/>
        </w:rPr>
        <w:instrText xml:space="preserve"> HYPERLINK \l "_Toc244176398" </w:instrText>
      </w:r>
      <w:r>
        <w:rPr>
          <w:color w:val="auto"/>
        </w:rPr>
        <w:fldChar w:fldCharType="separate"/>
      </w:r>
      <w:r>
        <w:rPr>
          <w:rStyle w:val="38"/>
          <w:b w:val="1"/>
          <w:i w:val="0"/>
          <w:color w:val="auto"/>
          <w:bCs/>
          <w:iCs w:val="0"/>
          <w:rFonts w:ascii="宋体" w:hAnsi="宋体" w:eastAsia="宋体"/>
        </w:rPr>
        <w:t>4.1.8 视频系统</w:t>
      </w:r>
      <w:r>
        <w:tab/>
        <w:rPr>
          <w:i w:val="0"/>
          <w:color w:val="auto"/>
          <w:iCs w:val="0"/>
          <w:rFonts w:hint="eastAsia"/>
        </w:rPr>
      </w:r>
      <w:r>
        <w:rPr>
          <w:i w:val="0"/>
          <w:color w:val="auto"/>
          <w:iCs w:val="0"/>
          <w:rFonts w:hint="eastAsia"/>
        </w:rPr>
        <w:fldChar w:fldCharType="begin"/>
      </w:r>
      <w:r>
        <w:rPr>
          <w:i w:val="0"/>
          <w:color w:val="auto"/>
          <w:iCs w:val="0"/>
          <w:rFonts w:hint="eastAsia"/>
        </w:rPr>
        <w:instrText xml:space="preserve"> </w:instrText>
      </w:r>
      <w:r>
        <w:rPr>
          <w:i w:val="0"/>
          <w:color w:val="auto"/>
          <w:iCs w:val="0"/>
        </w:rPr>
        <w:instrText xml:space="preserve">PAGEREF _Toc244176398 \h</w:instrText>
      </w:r>
      <w:r>
        <w:rPr>
          <w:i w:val="0"/>
          <w:color w:val="auto"/>
          <w:iCs w:val="0"/>
          <w:rFonts w:hint="eastAsia"/>
        </w:rPr>
        <w:instrText xml:space="preserve"> </w:instrText>
      </w:r>
      <w:r>
        <w:rPr>
          <w:i w:val="0"/>
          <w:color w:val="auto"/>
          <w:iCs w:val="0"/>
          <w:rFonts w:hint="eastAsia"/>
        </w:rPr>
        <w:fldChar w:fldCharType="separate"/>
      </w:r>
      <w:r>
        <w:rPr>
          <w:i w:val="0"/>
          <w:color w:val="auto"/>
          <w:iCs w:val="0"/>
          <w:rFonts w:hint="eastAsia"/>
        </w:rPr>
        <w:t>19</w:t>
      </w:r>
      <w:r>
        <w:rPr>
          <w:i w:val="0"/>
          <w:color w:val="auto"/>
          <w:iCs w:val="0"/>
          <w:rFonts w:hint="eastAsia"/>
        </w:rPr>
        <w:fldChar w:fldCharType="end"/>
      </w:r>
      <w:r>
        <w:rPr>
          <w:i w:val="0"/>
          <w:color w:val="auto"/>
          <w:iCs w:val="0"/>
          <w:rFonts w:hint="eastAsia"/>
        </w:rPr>
        <w:fldChar w:fldCharType="end"/>
      </w:r>
    </w:p>
    <w:p w14:paraId="322E41A9">
      <w:pPr>
        <w:pStyle w:val="26"/>
        <w:tabs>
          <w:tab w:val="right" w:leader="dot" w:pos="9060"/>
        </w:tabs>
        <w:rPr>
          <w:color w:val="auto"/>
          <w:sz w:val="22"/>
          <w:szCs w:val="24"/>
          <w:rFonts w:hint="eastAsia" w:eastAsiaTheme="minorEastAsia"/>
        </w:rPr>
      </w:pPr>
      <w:r>
        <w:rPr>
          <w:color w:val="auto"/>
        </w:rPr>
        <w:fldChar w:fldCharType="begin"/>
      </w:r>
      <w:r>
        <w:rPr>
          <w:color w:val="auto"/>
        </w:rPr>
        <w:instrText xml:space="preserve"> HYPERLINK \l "_Toc244176399" </w:instrText>
      </w:r>
      <w:r>
        <w:rPr>
          <w:color w:val="auto"/>
        </w:rPr>
        <w:fldChar w:fldCharType="separate"/>
      </w:r>
      <w:r>
        <w:rPr>
          <w:rStyle w:val="38"/>
          <w:b w:val="1"/>
          <w:color w:val="auto"/>
          <w:bCs/>
          <w:rFonts w:ascii="宋体" w:hAnsi="宋体" w:eastAsia="宋体"/>
        </w:rPr>
        <w:t>4.2 智慧电力运维系统</w:t>
      </w:r>
      <w:r>
        <w:tab/>
        <w:rPr>
          <w:color w:val="auto"/>
          <w:rFonts w:hint="eastAsia"/>
        </w:rPr>
      </w:r>
      <w:r>
        <w:rPr>
          <w:color w:val="auto"/>
          <w:rFonts w:hint="eastAsia"/>
        </w:rPr>
        <w:fldChar w:fldCharType="begin"/>
      </w:r>
      <w:r>
        <w:rPr>
          <w:color w:val="auto"/>
          <w:rFonts w:hint="eastAsia"/>
        </w:rPr>
        <w:instrText xml:space="preserve"> </w:instrText>
      </w:r>
      <w:r>
        <w:rPr>
          <w:color w:val="auto"/>
        </w:rPr>
        <w:instrText xml:space="preserve">PAGEREF _Toc244176399 \h</w:instrText>
      </w:r>
      <w:r>
        <w:rPr>
          <w:color w:val="auto"/>
          <w:rFonts w:hint="eastAsia"/>
        </w:rPr>
        <w:instrText xml:space="preserve"> </w:instrText>
      </w:r>
      <w:r>
        <w:rPr>
          <w:color w:val="auto"/>
          <w:rFonts w:hint="eastAsia"/>
        </w:rPr>
        <w:fldChar w:fldCharType="separate"/>
      </w:r>
      <w:r>
        <w:rPr>
          <w:color w:val="auto"/>
          <w:rFonts w:hint="eastAsia"/>
        </w:rPr>
        <w:t>19</w:t>
      </w:r>
      <w:r>
        <w:rPr>
          <w:color w:val="auto"/>
          <w:rFonts w:hint="eastAsia"/>
        </w:rPr>
        <w:fldChar w:fldCharType="end"/>
      </w:r>
      <w:r>
        <w:rPr>
          <w:color w:val="auto"/>
          <w:rFonts w:hint="eastAsia"/>
        </w:rPr>
        <w:fldChar w:fldCharType="end"/>
      </w:r>
    </w:p>
    <w:p w14:paraId="3399BED8">
      <w:pPr>
        <w:pStyle w:val="15"/>
        <w:tabs>
          <w:tab w:val="right" w:leader="dot" w:pos="9060"/>
        </w:tabs>
        <w:rPr>
          <w:i w:val="0"/>
          <w:color w:val="auto"/>
          <w:sz w:val="22"/>
          <w:iCs w:val="0"/>
          <w:szCs w:val="24"/>
          <w:rFonts w:hint="eastAsia" w:eastAsiaTheme="minorEastAsia"/>
        </w:rPr>
      </w:pPr>
      <w:r>
        <w:rPr>
          <w:color w:val="auto"/>
        </w:rPr>
        <w:fldChar w:fldCharType="begin"/>
      </w:r>
      <w:r>
        <w:rPr>
          <w:color w:val="auto"/>
        </w:rPr>
        <w:instrText xml:space="preserve"> HYPERLINK \l "_Toc244176400" </w:instrText>
      </w:r>
      <w:r>
        <w:rPr>
          <w:color w:val="auto"/>
        </w:rPr>
        <w:fldChar w:fldCharType="separate"/>
      </w:r>
      <w:r>
        <w:rPr>
          <w:rStyle w:val="38"/>
          <w:b w:val="1"/>
          <w:i w:val="0"/>
          <w:color w:val="auto"/>
          <w:bCs/>
          <w:iCs w:val="0"/>
          <w:rFonts w:ascii="宋体" w:hAnsi="宋体" w:eastAsia="宋体"/>
        </w:rPr>
        <w:t>4.2.1大屏全景展示</w:t>
      </w:r>
      <w:r>
        <w:tab/>
        <w:rPr>
          <w:i w:val="0"/>
          <w:color w:val="auto"/>
          <w:iCs w:val="0"/>
          <w:rFonts w:hint="eastAsia"/>
        </w:rPr>
      </w:r>
      <w:r>
        <w:rPr>
          <w:i w:val="0"/>
          <w:color w:val="auto"/>
          <w:iCs w:val="0"/>
          <w:rFonts w:hint="eastAsia"/>
        </w:rPr>
        <w:fldChar w:fldCharType="begin"/>
      </w:r>
      <w:r>
        <w:rPr>
          <w:i w:val="0"/>
          <w:color w:val="auto"/>
          <w:iCs w:val="0"/>
          <w:rFonts w:hint="eastAsia"/>
        </w:rPr>
        <w:instrText xml:space="preserve"> </w:instrText>
      </w:r>
      <w:r>
        <w:rPr>
          <w:i w:val="0"/>
          <w:color w:val="auto"/>
          <w:iCs w:val="0"/>
        </w:rPr>
        <w:instrText xml:space="preserve">PAGEREF _Toc244176400 \h</w:instrText>
      </w:r>
      <w:r>
        <w:rPr>
          <w:i w:val="0"/>
          <w:color w:val="auto"/>
          <w:iCs w:val="0"/>
          <w:rFonts w:hint="eastAsia"/>
        </w:rPr>
        <w:instrText xml:space="preserve"> </w:instrText>
      </w:r>
      <w:r>
        <w:rPr>
          <w:i w:val="0"/>
          <w:color w:val="auto"/>
          <w:iCs w:val="0"/>
          <w:rFonts w:hint="eastAsia"/>
        </w:rPr>
        <w:fldChar w:fldCharType="separate"/>
      </w:r>
      <w:r>
        <w:rPr>
          <w:i w:val="0"/>
          <w:color w:val="auto"/>
          <w:iCs w:val="0"/>
          <w:rFonts w:hint="eastAsia"/>
        </w:rPr>
        <w:t>19</w:t>
      </w:r>
      <w:r>
        <w:rPr>
          <w:i w:val="0"/>
          <w:color w:val="auto"/>
          <w:iCs w:val="0"/>
          <w:rFonts w:hint="eastAsia"/>
        </w:rPr>
        <w:fldChar w:fldCharType="end"/>
      </w:r>
      <w:r>
        <w:rPr>
          <w:i w:val="0"/>
          <w:color w:val="auto"/>
          <w:iCs w:val="0"/>
          <w:rFonts w:hint="eastAsia"/>
        </w:rPr>
        <w:fldChar w:fldCharType="end"/>
      </w:r>
    </w:p>
    <w:p w14:paraId="2C3B4521">
      <w:pPr>
        <w:pStyle w:val="15"/>
        <w:tabs>
          <w:tab w:val="right" w:leader="dot" w:pos="9060"/>
        </w:tabs>
        <w:rPr>
          <w:i w:val="0"/>
          <w:color w:val="auto"/>
          <w:sz w:val="22"/>
          <w:iCs w:val="0"/>
          <w:szCs w:val="24"/>
          <w:rFonts w:hint="eastAsia" w:eastAsiaTheme="minorEastAsia"/>
        </w:rPr>
      </w:pPr>
      <w:r>
        <w:rPr>
          <w:color w:val="auto"/>
        </w:rPr>
        <w:fldChar w:fldCharType="begin"/>
      </w:r>
      <w:r>
        <w:rPr>
          <w:color w:val="auto"/>
        </w:rPr>
        <w:instrText xml:space="preserve"> HYPERLINK \l "_Toc244176401" </w:instrText>
      </w:r>
      <w:r>
        <w:rPr>
          <w:color w:val="auto"/>
        </w:rPr>
        <w:fldChar w:fldCharType="separate"/>
      </w:r>
      <w:r>
        <w:rPr>
          <w:rStyle w:val="38"/>
          <w:b w:val="1"/>
          <w:i w:val="0"/>
          <w:color w:val="auto"/>
          <w:bCs/>
          <w:iCs w:val="0"/>
          <w:rFonts w:ascii="宋体" w:hAnsi="宋体" w:eastAsia="宋体"/>
        </w:rPr>
        <w:t>4.2.2 3D实景扫描</w:t>
      </w:r>
      <w:r>
        <w:tab/>
        <w:rPr>
          <w:i w:val="0"/>
          <w:color w:val="auto"/>
          <w:iCs w:val="0"/>
          <w:rFonts w:hint="eastAsia"/>
        </w:rPr>
      </w:r>
      <w:r>
        <w:rPr>
          <w:i w:val="0"/>
          <w:color w:val="auto"/>
          <w:iCs w:val="0"/>
          <w:rFonts w:hint="eastAsia"/>
        </w:rPr>
        <w:fldChar w:fldCharType="begin"/>
      </w:r>
      <w:r>
        <w:rPr>
          <w:i w:val="0"/>
          <w:color w:val="auto"/>
          <w:iCs w:val="0"/>
          <w:rFonts w:hint="eastAsia"/>
        </w:rPr>
        <w:instrText xml:space="preserve"> </w:instrText>
      </w:r>
      <w:r>
        <w:rPr>
          <w:i w:val="0"/>
          <w:color w:val="auto"/>
          <w:iCs w:val="0"/>
        </w:rPr>
        <w:instrText xml:space="preserve">PAGEREF _Toc244176401 \h</w:instrText>
      </w:r>
      <w:r>
        <w:rPr>
          <w:i w:val="0"/>
          <w:color w:val="auto"/>
          <w:iCs w:val="0"/>
          <w:rFonts w:hint="eastAsia"/>
        </w:rPr>
        <w:instrText xml:space="preserve"> </w:instrText>
      </w:r>
      <w:r>
        <w:rPr>
          <w:i w:val="0"/>
          <w:color w:val="auto"/>
          <w:iCs w:val="0"/>
          <w:rFonts w:hint="eastAsia"/>
        </w:rPr>
        <w:fldChar w:fldCharType="separate"/>
      </w:r>
      <w:r>
        <w:rPr>
          <w:i w:val="0"/>
          <w:color w:val="auto"/>
          <w:iCs w:val="0"/>
          <w:rFonts w:hint="eastAsia"/>
        </w:rPr>
        <w:t>20</w:t>
      </w:r>
      <w:r>
        <w:rPr>
          <w:i w:val="0"/>
          <w:color w:val="auto"/>
          <w:iCs w:val="0"/>
          <w:rFonts w:hint="eastAsia"/>
        </w:rPr>
        <w:fldChar w:fldCharType="end"/>
      </w:r>
      <w:r>
        <w:rPr>
          <w:i w:val="0"/>
          <w:color w:val="auto"/>
          <w:iCs w:val="0"/>
          <w:rFonts w:hint="eastAsia"/>
        </w:rPr>
        <w:fldChar w:fldCharType="end"/>
      </w:r>
    </w:p>
    <w:p w14:paraId="78D7C299">
      <w:pPr>
        <w:pStyle w:val="15"/>
        <w:tabs>
          <w:tab w:val="right" w:leader="dot" w:pos="9060"/>
        </w:tabs>
        <w:rPr>
          <w:i w:val="0"/>
          <w:color w:val="auto"/>
          <w:sz w:val="22"/>
          <w:iCs w:val="0"/>
          <w:szCs w:val="24"/>
          <w:rFonts w:hint="eastAsia" w:eastAsiaTheme="minorEastAsia"/>
        </w:rPr>
      </w:pPr>
      <w:r>
        <w:rPr>
          <w:color w:val="auto"/>
        </w:rPr>
        <w:fldChar w:fldCharType="begin"/>
      </w:r>
      <w:r>
        <w:rPr>
          <w:color w:val="auto"/>
        </w:rPr>
        <w:instrText xml:space="preserve"> HYPERLINK \l "_Toc244176402" </w:instrText>
      </w:r>
      <w:r>
        <w:rPr>
          <w:color w:val="auto"/>
        </w:rPr>
        <w:fldChar w:fldCharType="separate"/>
      </w:r>
      <w:r>
        <w:rPr>
          <w:rStyle w:val="38"/>
          <w:b w:val="1"/>
          <w:i w:val="0"/>
          <w:color w:val="auto"/>
          <w:bCs/>
          <w:iCs w:val="0"/>
          <w:rFonts w:ascii="宋体" w:hAnsi="宋体" w:eastAsia="宋体"/>
        </w:rPr>
        <w:t>4.2.3电力实时监测</w:t>
      </w:r>
      <w:r>
        <w:tab/>
        <w:rPr>
          <w:i w:val="0"/>
          <w:color w:val="auto"/>
          <w:iCs w:val="0"/>
          <w:rFonts w:hint="eastAsia"/>
        </w:rPr>
      </w:r>
      <w:r>
        <w:rPr>
          <w:i w:val="0"/>
          <w:color w:val="auto"/>
          <w:iCs w:val="0"/>
          <w:rFonts w:hint="eastAsia"/>
        </w:rPr>
        <w:fldChar w:fldCharType="begin"/>
      </w:r>
      <w:r>
        <w:rPr>
          <w:i w:val="0"/>
          <w:color w:val="auto"/>
          <w:iCs w:val="0"/>
          <w:rFonts w:hint="eastAsia"/>
        </w:rPr>
        <w:instrText xml:space="preserve"> </w:instrText>
      </w:r>
      <w:r>
        <w:rPr>
          <w:i w:val="0"/>
          <w:color w:val="auto"/>
          <w:iCs w:val="0"/>
        </w:rPr>
        <w:instrText xml:space="preserve">PAGEREF _Toc244176402 \h</w:instrText>
      </w:r>
      <w:r>
        <w:rPr>
          <w:i w:val="0"/>
          <w:color w:val="auto"/>
          <w:iCs w:val="0"/>
          <w:rFonts w:hint="eastAsia"/>
        </w:rPr>
        <w:instrText xml:space="preserve"> </w:instrText>
      </w:r>
      <w:r>
        <w:rPr>
          <w:i w:val="0"/>
          <w:color w:val="auto"/>
          <w:iCs w:val="0"/>
          <w:rFonts w:hint="eastAsia"/>
        </w:rPr>
        <w:fldChar w:fldCharType="separate"/>
      </w:r>
      <w:r>
        <w:rPr>
          <w:i w:val="0"/>
          <w:color w:val="auto"/>
          <w:iCs w:val="0"/>
          <w:rFonts w:hint="eastAsia"/>
        </w:rPr>
        <w:t>20</w:t>
      </w:r>
      <w:r>
        <w:rPr>
          <w:i w:val="0"/>
          <w:color w:val="auto"/>
          <w:iCs w:val="0"/>
          <w:rFonts w:hint="eastAsia"/>
        </w:rPr>
        <w:fldChar w:fldCharType="end"/>
      </w:r>
      <w:r>
        <w:rPr>
          <w:i w:val="0"/>
          <w:color w:val="auto"/>
          <w:iCs w:val="0"/>
          <w:rFonts w:hint="eastAsia"/>
        </w:rPr>
        <w:fldChar w:fldCharType="end"/>
      </w:r>
    </w:p>
    <w:p w14:paraId="08516FF5">
      <w:pPr>
        <w:pStyle w:val="15"/>
        <w:tabs>
          <w:tab w:val="right" w:leader="dot" w:pos="9060"/>
        </w:tabs>
        <w:rPr>
          <w:i w:val="0"/>
          <w:color w:val="auto"/>
          <w:sz w:val="22"/>
          <w:iCs w:val="0"/>
          <w:szCs w:val="24"/>
          <w:rFonts w:hint="eastAsia" w:eastAsiaTheme="minorEastAsia"/>
        </w:rPr>
      </w:pPr>
      <w:r>
        <w:rPr>
          <w:color w:val="auto"/>
        </w:rPr>
        <w:fldChar w:fldCharType="begin"/>
      </w:r>
      <w:r>
        <w:rPr>
          <w:color w:val="auto"/>
        </w:rPr>
        <w:instrText xml:space="preserve"> HYPERLINK \l "_Toc244176403" </w:instrText>
      </w:r>
      <w:r>
        <w:rPr>
          <w:color w:val="auto"/>
        </w:rPr>
        <w:fldChar w:fldCharType="separate"/>
      </w:r>
      <w:r>
        <w:rPr>
          <w:rStyle w:val="38"/>
          <w:b w:val="1"/>
          <w:i w:val="0"/>
          <w:color w:val="auto"/>
          <w:bCs/>
          <w:iCs w:val="0"/>
          <w:rFonts w:ascii="宋体" w:hAnsi="宋体" w:eastAsia="宋体"/>
        </w:rPr>
        <w:t>4.2.4电气接线图</w:t>
      </w:r>
      <w:r>
        <w:tab/>
        <w:rPr>
          <w:i w:val="0"/>
          <w:color w:val="auto"/>
          <w:iCs w:val="0"/>
          <w:rFonts w:hint="eastAsia"/>
        </w:rPr>
      </w:r>
      <w:r>
        <w:rPr>
          <w:i w:val="0"/>
          <w:color w:val="auto"/>
          <w:iCs w:val="0"/>
          <w:rFonts w:hint="eastAsia"/>
        </w:rPr>
        <w:fldChar w:fldCharType="begin"/>
      </w:r>
      <w:r>
        <w:rPr>
          <w:i w:val="0"/>
          <w:color w:val="auto"/>
          <w:iCs w:val="0"/>
          <w:rFonts w:hint="eastAsia"/>
        </w:rPr>
        <w:instrText xml:space="preserve"> </w:instrText>
      </w:r>
      <w:r>
        <w:rPr>
          <w:i w:val="0"/>
          <w:color w:val="auto"/>
          <w:iCs w:val="0"/>
        </w:rPr>
        <w:instrText xml:space="preserve">PAGEREF _Toc244176403 \h</w:instrText>
      </w:r>
      <w:r>
        <w:rPr>
          <w:i w:val="0"/>
          <w:color w:val="auto"/>
          <w:iCs w:val="0"/>
          <w:rFonts w:hint="eastAsia"/>
        </w:rPr>
        <w:instrText xml:space="preserve"> </w:instrText>
      </w:r>
      <w:r>
        <w:rPr>
          <w:i w:val="0"/>
          <w:color w:val="auto"/>
          <w:iCs w:val="0"/>
          <w:rFonts w:hint="eastAsia"/>
        </w:rPr>
        <w:fldChar w:fldCharType="separate"/>
      </w:r>
      <w:r>
        <w:rPr>
          <w:i w:val="0"/>
          <w:color w:val="auto"/>
          <w:iCs w:val="0"/>
          <w:rFonts w:hint="eastAsia"/>
        </w:rPr>
        <w:t>20</w:t>
      </w:r>
      <w:r>
        <w:rPr>
          <w:i w:val="0"/>
          <w:color w:val="auto"/>
          <w:iCs w:val="0"/>
          <w:rFonts w:hint="eastAsia"/>
        </w:rPr>
        <w:fldChar w:fldCharType="end"/>
      </w:r>
      <w:r>
        <w:rPr>
          <w:i w:val="0"/>
          <w:color w:val="auto"/>
          <w:iCs w:val="0"/>
          <w:rFonts w:hint="eastAsia"/>
        </w:rPr>
        <w:fldChar w:fldCharType="end"/>
      </w:r>
    </w:p>
    <w:p w14:paraId="3740AD99">
      <w:pPr>
        <w:pStyle w:val="15"/>
        <w:tabs>
          <w:tab w:val="right" w:leader="dot" w:pos="9060"/>
        </w:tabs>
        <w:rPr>
          <w:i w:val="0"/>
          <w:color w:val="auto"/>
          <w:sz w:val="22"/>
          <w:iCs w:val="0"/>
          <w:szCs w:val="24"/>
          <w:rFonts w:hint="eastAsia" w:eastAsiaTheme="minorEastAsia"/>
        </w:rPr>
      </w:pPr>
      <w:r>
        <w:rPr>
          <w:color w:val="auto"/>
        </w:rPr>
        <w:fldChar w:fldCharType="begin"/>
      </w:r>
      <w:r>
        <w:rPr>
          <w:color w:val="auto"/>
        </w:rPr>
        <w:instrText xml:space="preserve"> HYPERLINK \l "_Toc244176404" </w:instrText>
      </w:r>
      <w:r>
        <w:rPr>
          <w:color w:val="auto"/>
        </w:rPr>
        <w:fldChar w:fldCharType="separate"/>
      </w:r>
      <w:r>
        <w:rPr>
          <w:rStyle w:val="38"/>
          <w:b w:val="1"/>
          <w:i w:val="0"/>
          <w:color w:val="auto"/>
          <w:bCs/>
          <w:iCs w:val="0"/>
          <w:rFonts w:ascii="宋体" w:hAnsi="宋体" w:eastAsia="宋体"/>
        </w:rPr>
        <w:t>4.2.5重点设备监测</w:t>
      </w:r>
      <w:r>
        <w:tab/>
        <w:rPr>
          <w:i w:val="0"/>
          <w:color w:val="auto"/>
          <w:iCs w:val="0"/>
          <w:rFonts w:hint="eastAsia"/>
        </w:rPr>
      </w:r>
      <w:r>
        <w:rPr>
          <w:i w:val="0"/>
          <w:color w:val="auto"/>
          <w:iCs w:val="0"/>
          <w:rFonts w:hint="eastAsia"/>
        </w:rPr>
        <w:fldChar w:fldCharType="begin"/>
      </w:r>
      <w:r>
        <w:rPr>
          <w:i w:val="0"/>
          <w:color w:val="auto"/>
          <w:iCs w:val="0"/>
          <w:rFonts w:hint="eastAsia"/>
        </w:rPr>
        <w:instrText xml:space="preserve"> </w:instrText>
      </w:r>
      <w:r>
        <w:rPr>
          <w:i w:val="0"/>
          <w:color w:val="auto"/>
          <w:iCs w:val="0"/>
        </w:rPr>
        <w:instrText xml:space="preserve">PAGEREF _Toc244176404 \h</w:instrText>
      </w:r>
      <w:r>
        <w:rPr>
          <w:i w:val="0"/>
          <w:color w:val="auto"/>
          <w:iCs w:val="0"/>
          <w:rFonts w:hint="eastAsia"/>
        </w:rPr>
        <w:instrText xml:space="preserve"> </w:instrText>
      </w:r>
      <w:r>
        <w:rPr>
          <w:i w:val="0"/>
          <w:color w:val="auto"/>
          <w:iCs w:val="0"/>
          <w:rFonts w:hint="eastAsia"/>
        </w:rPr>
        <w:fldChar w:fldCharType="separate"/>
      </w:r>
      <w:r>
        <w:rPr>
          <w:i w:val="0"/>
          <w:color w:val="auto"/>
          <w:iCs w:val="0"/>
          <w:rFonts w:hint="eastAsia"/>
        </w:rPr>
        <w:t>20</w:t>
      </w:r>
      <w:r>
        <w:rPr>
          <w:i w:val="0"/>
          <w:color w:val="auto"/>
          <w:iCs w:val="0"/>
          <w:rFonts w:hint="eastAsia"/>
        </w:rPr>
        <w:fldChar w:fldCharType="end"/>
      </w:r>
      <w:r>
        <w:rPr>
          <w:i w:val="0"/>
          <w:color w:val="auto"/>
          <w:iCs w:val="0"/>
          <w:rFonts w:hint="eastAsia"/>
        </w:rPr>
        <w:fldChar w:fldCharType="end"/>
      </w:r>
    </w:p>
    <w:p w14:paraId="475084C6">
      <w:pPr>
        <w:pStyle w:val="15"/>
        <w:tabs>
          <w:tab w:val="right" w:leader="dot" w:pos="9060"/>
        </w:tabs>
        <w:rPr>
          <w:i w:val="0"/>
          <w:color w:val="auto"/>
          <w:sz w:val="22"/>
          <w:iCs w:val="0"/>
          <w:szCs w:val="24"/>
          <w:rFonts w:hint="eastAsia" w:eastAsiaTheme="minorEastAsia"/>
        </w:rPr>
      </w:pPr>
      <w:r>
        <w:rPr>
          <w:color w:val="auto"/>
        </w:rPr>
        <w:fldChar w:fldCharType="begin"/>
      </w:r>
      <w:r>
        <w:rPr>
          <w:color w:val="auto"/>
        </w:rPr>
        <w:instrText xml:space="preserve"> HYPERLINK \l "_Toc244176405" </w:instrText>
      </w:r>
      <w:r>
        <w:rPr>
          <w:color w:val="auto"/>
        </w:rPr>
        <w:fldChar w:fldCharType="separate"/>
      </w:r>
      <w:r>
        <w:rPr>
          <w:rStyle w:val="38"/>
          <w:b w:val="1"/>
          <w:i w:val="0"/>
          <w:color w:val="auto"/>
          <w:bCs/>
          <w:iCs w:val="0"/>
          <w:rFonts w:ascii="宋体" w:hAnsi="宋体" w:eastAsia="宋体"/>
        </w:rPr>
        <w:t>4.2.6能耗总览</w:t>
      </w:r>
      <w:r>
        <w:tab/>
        <w:rPr>
          <w:i w:val="0"/>
          <w:color w:val="auto"/>
          <w:iCs w:val="0"/>
          <w:rFonts w:hint="eastAsia"/>
        </w:rPr>
      </w:r>
      <w:r>
        <w:rPr>
          <w:i w:val="0"/>
          <w:color w:val="auto"/>
          <w:iCs w:val="0"/>
          <w:rFonts w:hint="eastAsia"/>
        </w:rPr>
        <w:fldChar w:fldCharType="begin"/>
      </w:r>
      <w:r>
        <w:rPr>
          <w:i w:val="0"/>
          <w:color w:val="auto"/>
          <w:iCs w:val="0"/>
          <w:rFonts w:hint="eastAsia"/>
        </w:rPr>
        <w:instrText xml:space="preserve"> </w:instrText>
      </w:r>
      <w:r>
        <w:rPr>
          <w:i w:val="0"/>
          <w:color w:val="auto"/>
          <w:iCs w:val="0"/>
        </w:rPr>
        <w:instrText xml:space="preserve">PAGEREF _Toc244176405 \h</w:instrText>
      </w:r>
      <w:r>
        <w:rPr>
          <w:i w:val="0"/>
          <w:color w:val="auto"/>
          <w:iCs w:val="0"/>
          <w:rFonts w:hint="eastAsia"/>
        </w:rPr>
        <w:instrText xml:space="preserve"> </w:instrText>
      </w:r>
      <w:r>
        <w:rPr>
          <w:i w:val="0"/>
          <w:color w:val="auto"/>
          <w:iCs w:val="0"/>
          <w:rFonts w:hint="eastAsia"/>
        </w:rPr>
        <w:fldChar w:fldCharType="separate"/>
      </w:r>
      <w:r>
        <w:rPr>
          <w:i w:val="0"/>
          <w:color w:val="auto"/>
          <w:iCs w:val="0"/>
          <w:rFonts w:hint="eastAsia"/>
        </w:rPr>
        <w:t>20</w:t>
      </w:r>
      <w:r>
        <w:rPr>
          <w:i w:val="0"/>
          <w:color w:val="auto"/>
          <w:iCs w:val="0"/>
          <w:rFonts w:hint="eastAsia"/>
        </w:rPr>
        <w:fldChar w:fldCharType="end"/>
      </w:r>
      <w:r>
        <w:rPr>
          <w:i w:val="0"/>
          <w:color w:val="auto"/>
          <w:iCs w:val="0"/>
          <w:rFonts w:hint="eastAsia"/>
        </w:rPr>
        <w:fldChar w:fldCharType="end"/>
      </w:r>
    </w:p>
    <w:p w14:paraId="770270A0">
      <w:pPr>
        <w:pStyle w:val="15"/>
        <w:tabs>
          <w:tab w:val="right" w:leader="dot" w:pos="9060"/>
        </w:tabs>
        <w:rPr>
          <w:i w:val="0"/>
          <w:color w:val="auto"/>
          <w:sz w:val="22"/>
          <w:iCs w:val="0"/>
          <w:szCs w:val="24"/>
          <w:rFonts w:hint="eastAsia" w:eastAsiaTheme="minorEastAsia"/>
        </w:rPr>
      </w:pPr>
      <w:r>
        <w:rPr>
          <w:color w:val="auto"/>
        </w:rPr>
        <w:fldChar w:fldCharType="begin"/>
      </w:r>
      <w:r>
        <w:rPr>
          <w:color w:val="auto"/>
        </w:rPr>
        <w:instrText xml:space="preserve"> HYPERLINK \l "_Toc244176406" </w:instrText>
      </w:r>
      <w:r>
        <w:rPr>
          <w:color w:val="auto"/>
        </w:rPr>
        <w:fldChar w:fldCharType="separate"/>
      </w:r>
      <w:r>
        <w:rPr>
          <w:rStyle w:val="38"/>
          <w:b w:val="1"/>
          <w:i w:val="0"/>
          <w:color w:val="auto"/>
          <w:bCs/>
          <w:iCs w:val="0"/>
          <w:rFonts w:ascii="宋体" w:hAnsi="宋体" w:eastAsia="宋体"/>
        </w:rPr>
        <w:t>4.2.7用能分析</w:t>
      </w:r>
      <w:r>
        <w:tab/>
        <w:rPr>
          <w:i w:val="0"/>
          <w:color w:val="auto"/>
          <w:iCs w:val="0"/>
          <w:rFonts w:hint="eastAsia"/>
        </w:rPr>
      </w:r>
      <w:r>
        <w:rPr>
          <w:i w:val="0"/>
          <w:color w:val="auto"/>
          <w:iCs w:val="0"/>
          <w:rFonts w:hint="eastAsia"/>
        </w:rPr>
        <w:fldChar w:fldCharType="begin"/>
      </w:r>
      <w:r>
        <w:rPr>
          <w:i w:val="0"/>
          <w:color w:val="auto"/>
          <w:iCs w:val="0"/>
          <w:rFonts w:hint="eastAsia"/>
        </w:rPr>
        <w:instrText xml:space="preserve"> </w:instrText>
      </w:r>
      <w:r>
        <w:rPr>
          <w:i w:val="0"/>
          <w:color w:val="auto"/>
          <w:iCs w:val="0"/>
        </w:rPr>
        <w:instrText xml:space="preserve">PAGEREF _Toc244176406 \h</w:instrText>
      </w:r>
      <w:r>
        <w:rPr>
          <w:i w:val="0"/>
          <w:color w:val="auto"/>
          <w:iCs w:val="0"/>
          <w:rFonts w:hint="eastAsia"/>
        </w:rPr>
        <w:instrText xml:space="preserve"> </w:instrText>
      </w:r>
      <w:r>
        <w:rPr>
          <w:i w:val="0"/>
          <w:color w:val="auto"/>
          <w:iCs w:val="0"/>
          <w:rFonts w:hint="eastAsia"/>
        </w:rPr>
        <w:fldChar w:fldCharType="separate"/>
      </w:r>
      <w:r>
        <w:rPr>
          <w:i w:val="0"/>
          <w:color w:val="auto"/>
          <w:iCs w:val="0"/>
          <w:rFonts w:hint="eastAsia"/>
        </w:rPr>
        <w:t>21</w:t>
      </w:r>
      <w:r>
        <w:rPr>
          <w:i w:val="0"/>
          <w:color w:val="auto"/>
          <w:iCs w:val="0"/>
          <w:rFonts w:hint="eastAsia"/>
        </w:rPr>
        <w:fldChar w:fldCharType="end"/>
      </w:r>
      <w:r>
        <w:rPr>
          <w:i w:val="0"/>
          <w:color w:val="auto"/>
          <w:iCs w:val="0"/>
          <w:rFonts w:hint="eastAsia"/>
        </w:rPr>
        <w:fldChar w:fldCharType="end"/>
      </w:r>
    </w:p>
    <w:p w14:paraId="33A79C04">
      <w:pPr>
        <w:pStyle w:val="15"/>
        <w:tabs>
          <w:tab w:val="right" w:leader="dot" w:pos="9060"/>
        </w:tabs>
        <w:rPr>
          <w:i w:val="0"/>
          <w:color w:val="auto"/>
          <w:sz w:val="22"/>
          <w:iCs w:val="0"/>
          <w:szCs w:val="24"/>
          <w:rFonts w:hint="eastAsia" w:eastAsiaTheme="minorEastAsia"/>
        </w:rPr>
      </w:pPr>
      <w:r>
        <w:rPr>
          <w:color w:val="auto"/>
        </w:rPr>
        <w:fldChar w:fldCharType="begin"/>
      </w:r>
      <w:r>
        <w:rPr>
          <w:color w:val="auto"/>
        </w:rPr>
        <w:instrText xml:space="preserve"> HYPERLINK \l "_Toc244176407" </w:instrText>
      </w:r>
      <w:r>
        <w:rPr>
          <w:color w:val="auto"/>
        </w:rPr>
        <w:fldChar w:fldCharType="separate"/>
      </w:r>
      <w:r>
        <w:rPr>
          <w:rStyle w:val="38"/>
          <w:b w:val="1"/>
          <w:i w:val="0"/>
          <w:color w:val="auto"/>
          <w:bCs/>
          <w:iCs w:val="0"/>
          <w:rFonts w:ascii="宋体" w:hAnsi="宋体" w:eastAsia="宋体"/>
        </w:rPr>
        <w:t>4.2.8电能质量监测</w:t>
      </w:r>
      <w:r>
        <w:tab/>
        <w:rPr>
          <w:i w:val="0"/>
          <w:color w:val="auto"/>
          <w:iCs w:val="0"/>
          <w:rFonts w:hint="eastAsia"/>
        </w:rPr>
      </w:r>
      <w:r>
        <w:rPr>
          <w:i w:val="0"/>
          <w:color w:val="auto"/>
          <w:iCs w:val="0"/>
          <w:rFonts w:hint="eastAsia"/>
        </w:rPr>
        <w:fldChar w:fldCharType="begin"/>
      </w:r>
      <w:r>
        <w:rPr>
          <w:i w:val="0"/>
          <w:color w:val="auto"/>
          <w:iCs w:val="0"/>
          <w:rFonts w:hint="eastAsia"/>
        </w:rPr>
        <w:instrText xml:space="preserve"> </w:instrText>
      </w:r>
      <w:r>
        <w:rPr>
          <w:i w:val="0"/>
          <w:color w:val="auto"/>
          <w:iCs w:val="0"/>
        </w:rPr>
        <w:instrText xml:space="preserve">PAGEREF _Toc244176407 \h</w:instrText>
      </w:r>
      <w:r>
        <w:rPr>
          <w:i w:val="0"/>
          <w:color w:val="auto"/>
          <w:iCs w:val="0"/>
          <w:rFonts w:hint="eastAsia"/>
        </w:rPr>
        <w:instrText xml:space="preserve"> </w:instrText>
      </w:r>
      <w:r>
        <w:rPr>
          <w:i w:val="0"/>
          <w:color w:val="auto"/>
          <w:iCs w:val="0"/>
          <w:rFonts w:hint="eastAsia"/>
        </w:rPr>
        <w:fldChar w:fldCharType="separate"/>
      </w:r>
      <w:r>
        <w:rPr>
          <w:i w:val="0"/>
          <w:color w:val="auto"/>
          <w:iCs w:val="0"/>
          <w:rFonts w:hint="eastAsia"/>
        </w:rPr>
        <w:t>21</w:t>
      </w:r>
      <w:r>
        <w:rPr>
          <w:i w:val="0"/>
          <w:color w:val="auto"/>
          <w:iCs w:val="0"/>
          <w:rFonts w:hint="eastAsia"/>
        </w:rPr>
        <w:fldChar w:fldCharType="end"/>
      </w:r>
      <w:r>
        <w:rPr>
          <w:i w:val="0"/>
          <w:color w:val="auto"/>
          <w:iCs w:val="0"/>
          <w:rFonts w:hint="eastAsia"/>
        </w:rPr>
        <w:fldChar w:fldCharType="end"/>
      </w:r>
    </w:p>
    <w:p w14:paraId="401922E4">
      <w:pPr>
        <w:pStyle w:val="15"/>
        <w:tabs>
          <w:tab w:val="right" w:leader="dot" w:pos="9060"/>
        </w:tabs>
        <w:rPr>
          <w:i w:val="0"/>
          <w:color w:val="auto"/>
          <w:sz w:val="22"/>
          <w:iCs w:val="0"/>
          <w:szCs w:val="24"/>
          <w:rFonts w:hint="eastAsia" w:eastAsiaTheme="minorEastAsia"/>
        </w:rPr>
      </w:pPr>
      <w:r>
        <w:rPr>
          <w:color w:val="auto"/>
        </w:rPr>
        <w:fldChar w:fldCharType="begin"/>
      </w:r>
      <w:r>
        <w:rPr>
          <w:color w:val="auto"/>
        </w:rPr>
        <w:instrText xml:space="preserve"> HYPERLINK \l "_Toc244176408" </w:instrText>
      </w:r>
      <w:r>
        <w:rPr>
          <w:color w:val="auto"/>
        </w:rPr>
        <w:fldChar w:fldCharType="separate"/>
      </w:r>
      <w:r>
        <w:rPr>
          <w:rStyle w:val="38"/>
          <w:b w:val="1"/>
          <w:i w:val="0"/>
          <w:color w:val="auto"/>
          <w:bCs/>
          <w:iCs w:val="0"/>
          <w:rFonts w:ascii="宋体" w:hAnsi="宋体" w:eastAsia="宋体"/>
        </w:rPr>
        <w:t>4.2.9定值管理</w:t>
      </w:r>
      <w:r>
        <w:tab/>
        <w:rPr>
          <w:i w:val="0"/>
          <w:color w:val="auto"/>
          <w:iCs w:val="0"/>
          <w:rFonts w:hint="eastAsia"/>
        </w:rPr>
      </w:r>
      <w:r>
        <w:rPr>
          <w:i w:val="0"/>
          <w:color w:val="auto"/>
          <w:iCs w:val="0"/>
          <w:rFonts w:hint="eastAsia"/>
        </w:rPr>
        <w:fldChar w:fldCharType="begin"/>
      </w:r>
      <w:r>
        <w:rPr>
          <w:i w:val="0"/>
          <w:color w:val="auto"/>
          <w:iCs w:val="0"/>
          <w:rFonts w:hint="eastAsia"/>
        </w:rPr>
        <w:instrText xml:space="preserve"> </w:instrText>
      </w:r>
      <w:r>
        <w:rPr>
          <w:i w:val="0"/>
          <w:color w:val="auto"/>
          <w:iCs w:val="0"/>
        </w:rPr>
        <w:instrText xml:space="preserve">PAGEREF _Toc244176408 \h</w:instrText>
      </w:r>
      <w:r>
        <w:rPr>
          <w:i w:val="0"/>
          <w:color w:val="auto"/>
          <w:iCs w:val="0"/>
          <w:rFonts w:hint="eastAsia"/>
        </w:rPr>
        <w:instrText xml:space="preserve"> </w:instrText>
      </w:r>
      <w:r>
        <w:rPr>
          <w:i w:val="0"/>
          <w:color w:val="auto"/>
          <w:iCs w:val="0"/>
          <w:rFonts w:hint="eastAsia"/>
        </w:rPr>
        <w:fldChar w:fldCharType="separate"/>
      </w:r>
      <w:r>
        <w:rPr>
          <w:i w:val="0"/>
          <w:color w:val="auto"/>
          <w:iCs w:val="0"/>
          <w:rFonts w:hint="eastAsia"/>
        </w:rPr>
        <w:t>21</w:t>
      </w:r>
      <w:r>
        <w:rPr>
          <w:i w:val="0"/>
          <w:color w:val="auto"/>
          <w:iCs w:val="0"/>
          <w:rFonts w:hint="eastAsia"/>
        </w:rPr>
        <w:fldChar w:fldCharType="end"/>
      </w:r>
      <w:r>
        <w:rPr>
          <w:i w:val="0"/>
          <w:color w:val="auto"/>
          <w:iCs w:val="0"/>
          <w:rFonts w:hint="eastAsia"/>
        </w:rPr>
        <w:fldChar w:fldCharType="end"/>
      </w:r>
    </w:p>
    <w:p w14:paraId="1F5C4BB6">
      <w:pPr>
        <w:pStyle w:val="15"/>
        <w:tabs>
          <w:tab w:val="right" w:leader="dot" w:pos="9060"/>
        </w:tabs>
        <w:rPr>
          <w:i w:val="0"/>
          <w:color w:val="auto"/>
          <w:sz w:val="22"/>
          <w:iCs w:val="0"/>
          <w:szCs w:val="24"/>
          <w:rFonts w:hint="eastAsia" w:eastAsiaTheme="minorEastAsia"/>
        </w:rPr>
      </w:pPr>
      <w:r>
        <w:rPr>
          <w:color w:val="auto"/>
        </w:rPr>
        <w:fldChar w:fldCharType="begin"/>
      </w:r>
      <w:r>
        <w:rPr>
          <w:color w:val="auto"/>
        </w:rPr>
        <w:instrText xml:space="preserve"> HYPERLINK \l "_Toc244176409" </w:instrText>
      </w:r>
      <w:r>
        <w:rPr>
          <w:color w:val="auto"/>
        </w:rPr>
        <w:fldChar w:fldCharType="separate"/>
      </w:r>
      <w:r>
        <w:rPr>
          <w:rStyle w:val="38"/>
          <w:b w:val="1"/>
          <w:i w:val="0"/>
          <w:color w:val="auto"/>
          <w:bCs/>
          <w:iCs w:val="0"/>
          <w:rFonts w:ascii="宋体" w:hAnsi="宋体" w:eastAsia="宋体"/>
        </w:rPr>
        <w:t>4.2.10用能实时查询</w:t>
      </w:r>
      <w:r>
        <w:tab/>
        <w:rPr>
          <w:i w:val="0"/>
          <w:color w:val="auto"/>
          <w:iCs w:val="0"/>
          <w:rFonts w:hint="eastAsia"/>
        </w:rPr>
      </w:r>
      <w:r>
        <w:rPr>
          <w:i w:val="0"/>
          <w:color w:val="auto"/>
          <w:iCs w:val="0"/>
          <w:rFonts w:hint="eastAsia"/>
        </w:rPr>
        <w:fldChar w:fldCharType="begin"/>
      </w:r>
      <w:r>
        <w:rPr>
          <w:i w:val="0"/>
          <w:color w:val="auto"/>
          <w:iCs w:val="0"/>
          <w:rFonts w:hint="eastAsia"/>
        </w:rPr>
        <w:instrText xml:space="preserve"> </w:instrText>
      </w:r>
      <w:r>
        <w:rPr>
          <w:i w:val="0"/>
          <w:color w:val="auto"/>
          <w:iCs w:val="0"/>
        </w:rPr>
        <w:instrText xml:space="preserve">PAGEREF _Toc244176409 \h</w:instrText>
      </w:r>
      <w:r>
        <w:rPr>
          <w:i w:val="0"/>
          <w:color w:val="auto"/>
          <w:iCs w:val="0"/>
          <w:rFonts w:hint="eastAsia"/>
        </w:rPr>
        <w:instrText xml:space="preserve"> </w:instrText>
      </w:r>
      <w:r>
        <w:rPr>
          <w:i w:val="0"/>
          <w:color w:val="auto"/>
          <w:iCs w:val="0"/>
          <w:rFonts w:hint="eastAsia"/>
        </w:rPr>
        <w:fldChar w:fldCharType="separate"/>
      </w:r>
      <w:r>
        <w:rPr>
          <w:i w:val="0"/>
          <w:color w:val="auto"/>
          <w:iCs w:val="0"/>
          <w:rFonts w:hint="eastAsia"/>
        </w:rPr>
        <w:t>21</w:t>
      </w:r>
      <w:r>
        <w:rPr>
          <w:i w:val="0"/>
          <w:color w:val="auto"/>
          <w:iCs w:val="0"/>
          <w:rFonts w:hint="eastAsia"/>
        </w:rPr>
        <w:fldChar w:fldCharType="end"/>
      </w:r>
      <w:r>
        <w:rPr>
          <w:i w:val="0"/>
          <w:color w:val="auto"/>
          <w:iCs w:val="0"/>
          <w:rFonts w:hint="eastAsia"/>
        </w:rPr>
        <w:fldChar w:fldCharType="end"/>
      </w:r>
    </w:p>
    <w:p w14:paraId="32D15883">
      <w:pPr>
        <w:pStyle w:val="15"/>
        <w:tabs>
          <w:tab w:val="right" w:leader="dot" w:pos="9060"/>
        </w:tabs>
        <w:rPr>
          <w:i w:val="0"/>
          <w:color w:val="auto"/>
          <w:sz w:val="22"/>
          <w:iCs w:val="0"/>
          <w:szCs w:val="24"/>
          <w:rFonts w:hint="eastAsia" w:eastAsiaTheme="minorEastAsia"/>
        </w:rPr>
      </w:pPr>
      <w:r>
        <w:rPr>
          <w:color w:val="auto"/>
        </w:rPr>
        <w:fldChar w:fldCharType="begin"/>
      </w:r>
      <w:r>
        <w:rPr>
          <w:color w:val="auto"/>
        </w:rPr>
        <w:instrText xml:space="preserve"> HYPERLINK \l "_Toc244176410" </w:instrText>
      </w:r>
      <w:r>
        <w:rPr>
          <w:color w:val="auto"/>
        </w:rPr>
        <w:fldChar w:fldCharType="separate"/>
      </w:r>
      <w:r>
        <w:rPr>
          <w:rStyle w:val="38"/>
          <w:b w:val="1"/>
          <w:i w:val="0"/>
          <w:color w:val="auto"/>
          <w:bCs/>
          <w:iCs w:val="0"/>
          <w:rFonts w:ascii="宋体" w:hAnsi="宋体" w:eastAsia="宋体"/>
        </w:rPr>
        <w:t>4.2.11用能报表</w:t>
      </w:r>
      <w:r>
        <w:tab/>
        <w:rPr>
          <w:i w:val="0"/>
          <w:color w:val="auto"/>
          <w:iCs w:val="0"/>
          <w:rFonts w:hint="eastAsia"/>
        </w:rPr>
      </w:r>
      <w:r>
        <w:rPr>
          <w:i w:val="0"/>
          <w:color w:val="auto"/>
          <w:iCs w:val="0"/>
          <w:rFonts w:hint="eastAsia"/>
        </w:rPr>
        <w:fldChar w:fldCharType="begin"/>
      </w:r>
      <w:r>
        <w:rPr>
          <w:i w:val="0"/>
          <w:color w:val="auto"/>
          <w:iCs w:val="0"/>
          <w:rFonts w:hint="eastAsia"/>
        </w:rPr>
        <w:instrText xml:space="preserve"> </w:instrText>
      </w:r>
      <w:r>
        <w:rPr>
          <w:i w:val="0"/>
          <w:color w:val="auto"/>
          <w:iCs w:val="0"/>
        </w:rPr>
        <w:instrText xml:space="preserve">PAGEREF _Toc244176410 \h</w:instrText>
      </w:r>
      <w:r>
        <w:rPr>
          <w:i w:val="0"/>
          <w:color w:val="auto"/>
          <w:iCs w:val="0"/>
          <w:rFonts w:hint="eastAsia"/>
        </w:rPr>
        <w:instrText xml:space="preserve"> </w:instrText>
      </w:r>
      <w:r>
        <w:rPr>
          <w:i w:val="0"/>
          <w:color w:val="auto"/>
          <w:iCs w:val="0"/>
          <w:rFonts w:hint="eastAsia"/>
        </w:rPr>
        <w:fldChar w:fldCharType="separate"/>
      </w:r>
      <w:r>
        <w:rPr>
          <w:i w:val="0"/>
          <w:color w:val="auto"/>
          <w:iCs w:val="0"/>
          <w:rFonts w:hint="eastAsia"/>
        </w:rPr>
        <w:t>21</w:t>
      </w:r>
      <w:r>
        <w:rPr>
          <w:i w:val="0"/>
          <w:color w:val="auto"/>
          <w:iCs w:val="0"/>
          <w:rFonts w:hint="eastAsia"/>
        </w:rPr>
        <w:fldChar w:fldCharType="end"/>
      </w:r>
      <w:r>
        <w:rPr>
          <w:i w:val="0"/>
          <w:color w:val="auto"/>
          <w:iCs w:val="0"/>
          <w:rFonts w:hint="eastAsia"/>
        </w:rPr>
        <w:fldChar w:fldCharType="end"/>
      </w:r>
    </w:p>
    <w:p w14:paraId="243D79CD">
      <w:pPr>
        <w:pStyle w:val="15"/>
        <w:tabs>
          <w:tab w:val="right" w:leader="dot" w:pos="9060"/>
        </w:tabs>
        <w:rPr>
          <w:i w:val="0"/>
          <w:color w:val="auto"/>
          <w:sz w:val="22"/>
          <w:iCs w:val="0"/>
          <w:szCs w:val="24"/>
          <w:rFonts w:hint="eastAsia" w:eastAsiaTheme="minorEastAsia"/>
        </w:rPr>
      </w:pPr>
      <w:r>
        <w:rPr>
          <w:color w:val="auto"/>
        </w:rPr>
        <w:fldChar w:fldCharType="begin"/>
      </w:r>
      <w:r>
        <w:rPr>
          <w:color w:val="auto"/>
        </w:rPr>
        <w:instrText xml:space="preserve"> HYPERLINK \l "_Toc244176411" </w:instrText>
      </w:r>
      <w:r>
        <w:rPr>
          <w:color w:val="auto"/>
        </w:rPr>
        <w:fldChar w:fldCharType="separate"/>
      </w:r>
      <w:r>
        <w:rPr>
          <w:rStyle w:val="38"/>
          <w:b w:val="1"/>
          <w:i w:val="0"/>
          <w:color w:val="auto"/>
          <w:bCs/>
          <w:iCs w:val="0"/>
          <w:rFonts w:ascii="宋体" w:hAnsi="宋体" w:eastAsia="宋体"/>
        </w:rPr>
        <w:t>4.2.12告警管理</w:t>
      </w:r>
      <w:r>
        <w:tab/>
        <w:rPr>
          <w:i w:val="0"/>
          <w:color w:val="auto"/>
          <w:iCs w:val="0"/>
          <w:rFonts w:hint="eastAsia"/>
        </w:rPr>
      </w:r>
      <w:r>
        <w:rPr>
          <w:i w:val="0"/>
          <w:color w:val="auto"/>
          <w:iCs w:val="0"/>
          <w:rFonts w:hint="eastAsia"/>
        </w:rPr>
        <w:fldChar w:fldCharType="begin"/>
      </w:r>
      <w:r>
        <w:rPr>
          <w:i w:val="0"/>
          <w:color w:val="auto"/>
          <w:iCs w:val="0"/>
          <w:rFonts w:hint="eastAsia"/>
        </w:rPr>
        <w:instrText xml:space="preserve"> </w:instrText>
      </w:r>
      <w:r>
        <w:rPr>
          <w:i w:val="0"/>
          <w:color w:val="auto"/>
          <w:iCs w:val="0"/>
        </w:rPr>
        <w:instrText xml:space="preserve">PAGEREF _Toc244176411 \h</w:instrText>
      </w:r>
      <w:r>
        <w:rPr>
          <w:i w:val="0"/>
          <w:color w:val="auto"/>
          <w:iCs w:val="0"/>
          <w:rFonts w:hint="eastAsia"/>
        </w:rPr>
        <w:instrText xml:space="preserve"> </w:instrText>
      </w:r>
      <w:r>
        <w:rPr>
          <w:i w:val="0"/>
          <w:color w:val="auto"/>
          <w:iCs w:val="0"/>
          <w:rFonts w:hint="eastAsia"/>
        </w:rPr>
        <w:fldChar w:fldCharType="separate"/>
      </w:r>
      <w:r>
        <w:rPr>
          <w:i w:val="0"/>
          <w:color w:val="auto"/>
          <w:iCs w:val="0"/>
          <w:rFonts w:hint="eastAsia"/>
        </w:rPr>
        <w:t>21</w:t>
      </w:r>
      <w:r>
        <w:rPr>
          <w:i w:val="0"/>
          <w:color w:val="auto"/>
          <w:iCs w:val="0"/>
          <w:rFonts w:hint="eastAsia"/>
        </w:rPr>
        <w:fldChar w:fldCharType="end"/>
      </w:r>
      <w:r>
        <w:rPr>
          <w:i w:val="0"/>
          <w:color w:val="auto"/>
          <w:iCs w:val="0"/>
          <w:rFonts w:hint="eastAsia"/>
        </w:rPr>
        <w:fldChar w:fldCharType="end"/>
      </w:r>
    </w:p>
    <w:p w14:paraId="657669A3">
      <w:pPr>
        <w:pStyle w:val="15"/>
        <w:tabs>
          <w:tab w:val="right" w:leader="dot" w:pos="9060"/>
        </w:tabs>
        <w:rPr>
          <w:i w:val="0"/>
          <w:color w:val="auto"/>
          <w:sz w:val="22"/>
          <w:iCs w:val="0"/>
          <w:szCs w:val="24"/>
          <w:rFonts w:hint="eastAsia" w:eastAsiaTheme="minorEastAsia"/>
        </w:rPr>
      </w:pPr>
      <w:r>
        <w:rPr>
          <w:color w:val="auto"/>
        </w:rPr>
        <w:fldChar w:fldCharType="begin"/>
      </w:r>
      <w:r>
        <w:rPr>
          <w:color w:val="auto"/>
        </w:rPr>
        <w:instrText xml:space="preserve"> HYPERLINK \l "_Toc244176412" </w:instrText>
      </w:r>
      <w:r>
        <w:rPr>
          <w:color w:val="auto"/>
        </w:rPr>
        <w:fldChar w:fldCharType="separate"/>
      </w:r>
      <w:r>
        <w:rPr>
          <w:rStyle w:val="38"/>
          <w:b w:val="1"/>
          <w:i w:val="0"/>
          <w:color w:val="auto"/>
          <w:bCs/>
          <w:iCs w:val="0"/>
          <w:rFonts w:ascii="宋体" w:hAnsi="宋体" w:eastAsia="宋体"/>
        </w:rPr>
        <w:t>4.2.13 辅助监控系统</w:t>
      </w:r>
      <w:r>
        <w:tab/>
        <w:rPr>
          <w:i w:val="0"/>
          <w:color w:val="auto"/>
          <w:iCs w:val="0"/>
          <w:rFonts w:hint="eastAsia"/>
        </w:rPr>
      </w:r>
      <w:r>
        <w:rPr>
          <w:i w:val="0"/>
          <w:color w:val="auto"/>
          <w:iCs w:val="0"/>
          <w:rFonts w:hint="eastAsia"/>
        </w:rPr>
        <w:fldChar w:fldCharType="begin"/>
      </w:r>
      <w:r>
        <w:rPr>
          <w:i w:val="0"/>
          <w:color w:val="auto"/>
          <w:iCs w:val="0"/>
          <w:rFonts w:hint="eastAsia"/>
        </w:rPr>
        <w:instrText xml:space="preserve"> </w:instrText>
      </w:r>
      <w:r>
        <w:rPr>
          <w:i w:val="0"/>
          <w:color w:val="auto"/>
          <w:iCs w:val="0"/>
        </w:rPr>
        <w:instrText xml:space="preserve">PAGEREF _Toc244176412 \h</w:instrText>
      </w:r>
      <w:r>
        <w:rPr>
          <w:i w:val="0"/>
          <w:color w:val="auto"/>
          <w:iCs w:val="0"/>
          <w:rFonts w:hint="eastAsia"/>
        </w:rPr>
        <w:instrText xml:space="preserve"> </w:instrText>
      </w:r>
      <w:r>
        <w:rPr>
          <w:i w:val="0"/>
          <w:color w:val="auto"/>
          <w:iCs w:val="0"/>
          <w:rFonts w:hint="eastAsia"/>
        </w:rPr>
        <w:fldChar w:fldCharType="separate"/>
      </w:r>
      <w:r>
        <w:rPr>
          <w:i w:val="0"/>
          <w:color w:val="auto"/>
          <w:iCs w:val="0"/>
          <w:rFonts w:hint="eastAsia"/>
        </w:rPr>
        <w:t>22</w:t>
      </w:r>
      <w:r>
        <w:rPr>
          <w:i w:val="0"/>
          <w:color w:val="auto"/>
          <w:iCs w:val="0"/>
          <w:rFonts w:hint="eastAsia"/>
        </w:rPr>
        <w:fldChar w:fldCharType="end"/>
      </w:r>
      <w:r>
        <w:rPr>
          <w:i w:val="0"/>
          <w:color w:val="auto"/>
          <w:iCs w:val="0"/>
          <w:rFonts w:hint="eastAsia"/>
        </w:rPr>
        <w:fldChar w:fldCharType="end"/>
      </w:r>
    </w:p>
    <w:p w14:paraId="0ABF8CF3">
      <w:pPr>
        <w:pStyle w:val="15"/>
        <w:tabs>
          <w:tab w:val="right" w:leader="dot" w:pos="9060"/>
        </w:tabs>
        <w:rPr>
          <w:i w:val="0"/>
          <w:color w:val="auto"/>
          <w:sz w:val="22"/>
          <w:iCs w:val="0"/>
          <w:szCs w:val="24"/>
          <w:rFonts w:hint="eastAsia" w:eastAsiaTheme="minorEastAsia"/>
        </w:rPr>
      </w:pPr>
      <w:r>
        <w:rPr>
          <w:color w:val="auto"/>
        </w:rPr>
        <w:fldChar w:fldCharType="begin"/>
      </w:r>
      <w:r>
        <w:rPr>
          <w:color w:val="auto"/>
        </w:rPr>
        <w:instrText xml:space="preserve"> HYPERLINK \l "_Toc244176413" </w:instrText>
      </w:r>
      <w:r>
        <w:rPr>
          <w:color w:val="auto"/>
        </w:rPr>
        <w:fldChar w:fldCharType="separate"/>
      </w:r>
      <w:r>
        <w:rPr>
          <w:rStyle w:val="38"/>
          <w:b w:val="1"/>
          <w:i w:val="0"/>
          <w:color w:val="auto"/>
          <w:bCs/>
          <w:iCs w:val="0"/>
          <w:rFonts w:ascii="宋体" w:hAnsi="宋体" w:eastAsia="宋体"/>
        </w:rPr>
        <w:t>4.2.14 移动端APP</w:t>
      </w:r>
      <w:r>
        <w:tab/>
        <w:rPr>
          <w:i w:val="0"/>
          <w:color w:val="auto"/>
          <w:iCs w:val="0"/>
          <w:rFonts w:hint="eastAsia"/>
        </w:rPr>
      </w:r>
      <w:r>
        <w:rPr>
          <w:i w:val="0"/>
          <w:color w:val="auto"/>
          <w:iCs w:val="0"/>
          <w:rFonts w:hint="eastAsia"/>
        </w:rPr>
        <w:fldChar w:fldCharType="begin"/>
      </w:r>
      <w:r>
        <w:rPr>
          <w:i w:val="0"/>
          <w:color w:val="auto"/>
          <w:iCs w:val="0"/>
          <w:rFonts w:hint="eastAsia"/>
        </w:rPr>
        <w:instrText xml:space="preserve"> </w:instrText>
      </w:r>
      <w:r>
        <w:rPr>
          <w:i w:val="0"/>
          <w:color w:val="auto"/>
          <w:iCs w:val="0"/>
        </w:rPr>
        <w:instrText xml:space="preserve">PAGEREF _Toc244176413 \h</w:instrText>
      </w:r>
      <w:r>
        <w:rPr>
          <w:i w:val="0"/>
          <w:color w:val="auto"/>
          <w:iCs w:val="0"/>
          <w:rFonts w:hint="eastAsia"/>
        </w:rPr>
        <w:instrText xml:space="preserve"> </w:instrText>
      </w:r>
      <w:r>
        <w:rPr>
          <w:i w:val="0"/>
          <w:color w:val="auto"/>
          <w:iCs w:val="0"/>
          <w:rFonts w:hint="eastAsia"/>
        </w:rPr>
        <w:fldChar w:fldCharType="separate"/>
      </w:r>
      <w:r>
        <w:rPr>
          <w:i w:val="0"/>
          <w:color w:val="auto"/>
          <w:iCs w:val="0"/>
          <w:rFonts w:hint="eastAsia"/>
        </w:rPr>
        <w:t>22</w:t>
      </w:r>
      <w:r>
        <w:rPr>
          <w:i w:val="0"/>
          <w:color w:val="auto"/>
          <w:iCs w:val="0"/>
          <w:rFonts w:hint="eastAsia"/>
        </w:rPr>
        <w:fldChar w:fldCharType="end"/>
      </w:r>
      <w:r>
        <w:rPr>
          <w:i w:val="0"/>
          <w:color w:val="auto"/>
          <w:iCs w:val="0"/>
          <w:rFonts w:hint="eastAsia"/>
        </w:rPr>
        <w:fldChar w:fldCharType="end"/>
      </w:r>
    </w:p>
    <w:p w14:paraId="718F0DFB">
      <w:pPr>
        <w:pStyle w:val="22"/>
        <w:tabs>
          <w:tab w:val="right" w:leader="dot" w:pos="9060"/>
        </w:tabs>
        <w:rPr>
          <w:b w:val="0"/>
          <w:color w:val="auto"/>
          <w:sz w:val="22"/>
          <w:bCs w:val="0"/>
          <w:szCs w:val="24"/>
          <w:rFonts w:hint="eastAsia" w:eastAsiaTheme="minorEastAsia"/>
        </w:rPr>
      </w:pPr>
      <w:r>
        <w:rPr>
          <w:color w:val="auto"/>
        </w:rPr>
        <w:fldChar w:fldCharType="begin"/>
      </w:r>
      <w:r>
        <w:rPr>
          <w:color w:val="auto"/>
        </w:rPr>
        <w:instrText xml:space="preserve"> HYPERLINK \l "_Toc244176414" </w:instrText>
      </w:r>
      <w:r>
        <w:rPr>
          <w:color w:val="auto"/>
        </w:rPr>
        <w:fldChar w:fldCharType="separate"/>
      </w:r>
      <w:r>
        <w:rPr>
          <w:rStyle w:val="38"/>
          <w:color w:val="auto"/>
        </w:rPr>
        <w:t>五、供货范围</w:t>
      </w:r>
      <w:r>
        <w:tab/>
        <w:rPr>
          <w:color w:val="auto"/>
          <w:rFonts w:hint="eastAsia"/>
        </w:rPr>
      </w:r>
      <w:r>
        <w:rPr>
          <w:color w:val="auto"/>
          <w:rFonts w:hint="eastAsia"/>
        </w:rPr>
        <w:fldChar w:fldCharType="begin"/>
      </w:r>
      <w:r>
        <w:rPr>
          <w:color w:val="auto"/>
          <w:rFonts w:hint="eastAsia"/>
        </w:rPr>
        <w:instrText xml:space="preserve"> </w:instrText>
      </w:r>
      <w:r>
        <w:rPr>
          <w:color w:val="auto"/>
        </w:rPr>
        <w:instrText xml:space="preserve">PAGEREF _Toc244176414 \h</w:instrText>
      </w:r>
      <w:r>
        <w:rPr>
          <w:color w:val="auto"/>
          <w:rFonts w:hint="eastAsia"/>
        </w:rPr>
        <w:instrText xml:space="preserve"> </w:instrText>
      </w:r>
      <w:r>
        <w:rPr>
          <w:color w:val="auto"/>
          <w:rFonts w:hint="eastAsia"/>
        </w:rPr>
        <w:fldChar w:fldCharType="separate"/>
      </w:r>
      <w:r>
        <w:rPr>
          <w:color w:val="auto"/>
          <w:rFonts w:hint="eastAsia"/>
        </w:rPr>
        <w:t>23</w:t>
      </w:r>
      <w:r>
        <w:rPr>
          <w:color w:val="auto"/>
          <w:rFonts w:hint="eastAsia"/>
        </w:rPr>
        <w:fldChar w:fldCharType="end"/>
      </w:r>
      <w:r>
        <w:rPr>
          <w:color w:val="auto"/>
          <w:rFonts w:hint="eastAsia"/>
        </w:rPr>
        <w:fldChar w:fldCharType="end"/>
      </w:r>
    </w:p>
    <w:p w14:paraId="18184FDF">
      <w:pPr>
        <w:pStyle w:val="22"/>
        <w:tabs>
          <w:tab w:val="right" w:leader="dot" w:pos="9060"/>
        </w:tabs>
        <w:rPr>
          <w:b w:val="0"/>
          <w:color w:val="auto"/>
          <w:sz w:val="22"/>
          <w:bCs w:val="0"/>
          <w:szCs w:val="24"/>
          <w:rFonts w:hint="eastAsia" w:eastAsiaTheme="minorEastAsia"/>
        </w:rPr>
      </w:pPr>
      <w:r>
        <w:rPr>
          <w:color w:val="auto"/>
        </w:rPr>
        <w:fldChar w:fldCharType="begin"/>
      </w:r>
      <w:r>
        <w:rPr>
          <w:color w:val="auto"/>
        </w:rPr>
        <w:instrText xml:space="preserve"> HYPERLINK \l "_Toc244176415" </w:instrText>
      </w:r>
      <w:r>
        <w:rPr>
          <w:color w:val="auto"/>
        </w:rPr>
        <w:fldChar w:fldCharType="separate"/>
      </w:r>
      <w:r>
        <w:rPr>
          <w:rStyle w:val="38"/>
          <w:color w:val="auto"/>
          <w:rFonts w:ascii="宋体" w:hAnsi="宋体" w:eastAsia="宋体"/>
        </w:rPr>
        <w:t>六、试验、调试与验收</w:t>
      </w:r>
      <w:r>
        <w:tab/>
        <w:rPr>
          <w:color w:val="auto"/>
          <w:rFonts w:hint="eastAsia"/>
        </w:rPr>
      </w:r>
      <w:r>
        <w:rPr>
          <w:color w:val="auto"/>
          <w:rFonts w:hint="eastAsia"/>
        </w:rPr>
        <w:fldChar w:fldCharType="begin"/>
      </w:r>
      <w:r>
        <w:rPr>
          <w:color w:val="auto"/>
          <w:rFonts w:hint="eastAsia"/>
        </w:rPr>
        <w:instrText xml:space="preserve"> </w:instrText>
      </w:r>
      <w:r>
        <w:rPr>
          <w:color w:val="auto"/>
        </w:rPr>
        <w:instrText xml:space="preserve">PAGEREF _Toc244176415 \h</w:instrText>
      </w:r>
      <w:r>
        <w:rPr>
          <w:color w:val="auto"/>
          <w:rFonts w:hint="eastAsia"/>
        </w:rPr>
        <w:instrText xml:space="preserve"> </w:instrText>
      </w:r>
      <w:r>
        <w:rPr>
          <w:color w:val="auto"/>
          <w:rFonts w:hint="eastAsia"/>
        </w:rPr>
        <w:fldChar w:fldCharType="separate"/>
      </w:r>
      <w:r>
        <w:rPr>
          <w:color w:val="auto"/>
          <w:rFonts w:hint="eastAsia"/>
        </w:rPr>
        <w:t>25</w:t>
      </w:r>
      <w:r>
        <w:rPr>
          <w:color w:val="auto"/>
          <w:rFonts w:hint="eastAsia"/>
        </w:rPr>
        <w:fldChar w:fldCharType="end"/>
      </w:r>
      <w:r>
        <w:rPr>
          <w:color w:val="auto"/>
          <w:rFonts w:hint="eastAsia"/>
        </w:rPr>
        <w:fldChar w:fldCharType="end"/>
      </w:r>
    </w:p>
    <w:p w14:paraId="77BCD0E3">
      <w:pPr>
        <w:pStyle w:val="26"/>
        <w:tabs>
          <w:tab w:val="right" w:leader="dot" w:pos="9060"/>
        </w:tabs>
        <w:rPr>
          <w:color w:val="auto"/>
          <w:sz w:val="22"/>
          <w:szCs w:val="24"/>
          <w:rFonts w:hint="eastAsia" w:eastAsiaTheme="minorEastAsia"/>
        </w:rPr>
      </w:pPr>
      <w:r>
        <w:rPr>
          <w:color w:val="auto"/>
        </w:rPr>
        <w:fldChar w:fldCharType="begin"/>
      </w:r>
      <w:r>
        <w:rPr>
          <w:color w:val="auto"/>
        </w:rPr>
        <w:instrText xml:space="preserve"> HYPERLINK \l "_Toc244176416" </w:instrText>
      </w:r>
      <w:r>
        <w:rPr>
          <w:color w:val="auto"/>
        </w:rPr>
        <w:fldChar w:fldCharType="separate"/>
      </w:r>
      <w:r>
        <w:rPr>
          <w:rStyle w:val="38"/>
          <w:b w:val="1"/>
          <w:color w:val="auto"/>
          <w:bCs/>
          <w:rFonts w:ascii="宋体" w:hAnsi="宋体" w:eastAsia="宋体"/>
        </w:rPr>
        <w:t>6.1 出厂检验</w:t>
      </w:r>
      <w:r>
        <w:tab/>
        <w:rPr>
          <w:color w:val="auto"/>
          <w:rFonts w:hint="eastAsia"/>
        </w:rPr>
      </w:r>
      <w:r>
        <w:rPr>
          <w:color w:val="auto"/>
          <w:rFonts w:hint="eastAsia"/>
        </w:rPr>
        <w:fldChar w:fldCharType="begin"/>
      </w:r>
      <w:r>
        <w:rPr>
          <w:color w:val="auto"/>
          <w:rFonts w:hint="eastAsia"/>
        </w:rPr>
        <w:instrText xml:space="preserve"> </w:instrText>
      </w:r>
      <w:r>
        <w:rPr>
          <w:color w:val="auto"/>
        </w:rPr>
        <w:instrText xml:space="preserve">PAGEREF _Toc244176416 \h</w:instrText>
      </w:r>
      <w:r>
        <w:rPr>
          <w:color w:val="auto"/>
          <w:rFonts w:hint="eastAsia"/>
        </w:rPr>
        <w:instrText xml:space="preserve"> </w:instrText>
      </w:r>
      <w:r>
        <w:rPr>
          <w:color w:val="auto"/>
          <w:rFonts w:hint="eastAsia"/>
        </w:rPr>
        <w:fldChar w:fldCharType="separate"/>
      </w:r>
      <w:r>
        <w:rPr>
          <w:color w:val="auto"/>
          <w:rFonts w:hint="eastAsia"/>
        </w:rPr>
        <w:t>25</w:t>
      </w:r>
      <w:r>
        <w:rPr>
          <w:color w:val="auto"/>
          <w:rFonts w:hint="eastAsia"/>
        </w:rPr>
        <w:fldChar w:fldCharType="end"/>
      </w:r>
      <w:r>
        <w:rPr>
          <w:color w:val="auto"/>
          <w:rFonts w:hint="eastAsia"/>
        </w:rPr>
        <w:fldChar w:fldCharType="end"/>
      </w:r>
    </w:p>
    <w:p w14:paraId="21A67B1E">
      <w:pPr>
        <w:pStyle w:val="26"/>
        <w:tabs>
          <w:tab w:val="right" w:leader="dot" w:pos="9060"/>
        </w:tabs>
        <w:rPr>
          <w:color w:val="auto"/>
          <w:sz w:val="22"/>
          <w:szCs w:val="24"/>
          <w:rFonts w:hint="eastAsia" w:eastAsiaTheme="minorEastAsia"/>
        </w:rPr>
      </w:pPr>
      <w:r>
        <w:rPr>
          <w:color w:val="auto"/>
        </w:rPr>
        <w:fldChar w:fldCharType="begin"/>
      </w:r>
      <w:r>
        <w:rPr>
          <w:color w:val="auto"/>
        </w:rPr>
        <w:instrText xml:space="preserve"> HYPERLINK \l "_Toc244176417" </w:instrText>
      </w:r>
      <w:r>
        <w:rPr>
          <w:color w:val="auto"/>
        </w:rPr>
        <w:fldChar w:fldCharType="separate"/>
      </w:r>
      <w:r>
        <w:rPr>
          <w:rStyle w:val="38"/>
          <w:b w:val="1"/>
          <w:color w:val="auto"/>
          <w:bCs/>
          <w:rFonts w:ascii="宋体" w:hAnsi="宋体" w:eastAsia="宋体"/>
        </w:rPr>
        <w:t>6.2 现场调试</w:t>
      </w:r>
      <w:r>
        <w:tab/>
        <w:rPr>
          <w:color w:val="auto"/>
          <w:rFonts w:hint="eastAsia"/>
        </w:rPr>
      </w:r>
      <w:r>
        <w:rPr>
          <w:color w:val="auto"/>
          <w:rFonts w:hint="eastAsia"/>
        </w:rPr>
        <w:fldChar w:fldCharType="begin"/>
      </w:r>
      <w:r>
        <w:rPr>
          <w:color w:val="auto"/>
          <w:rFonts w:hint="eastAsia"/>
        </w:rPr>
        <w:instrText xml:space="preserve"> </w:instrText>
      </w:r>
      <w:r>
        <w:rPr>
          <w:color w:val="auto"/>
        </w:rPr>
        <w:instrText xml:space="preserve">PAGEREF _Toc244176417 \h</w:instrText>
      </w:r>
      <w:r>
        <w:rPr>
          <w:color w:val="auto"/>
          <w:rFonts w:hint="eastAsia"/>
        </w:rPr>
        <w:instrText xml:space="preserve"> </w:instrText>
      </w:r>
      <w:r>
        <w:rPr>
          <w:color w:val="auto"/>
          <w:rFonts w:hint="eastAsia"/>
        </w:rPr>
        <w:fldChar w:fldCharType="separate"/>
      </w:r>
      <w:r>
        <w:rPr>
          <w:color w:val="auto"/>
          <w:rFonts w:hint="eastAsia"/>
        </w:rPr>
        <w:t>25</w:t>
      </w:r>
      <w:r>
        <w:rPr>
          <w:color w:val="auto"/>
          <w:rFonts w:hint="eastAsia"/>
        </w:rPr>
        <w:fldChar w:fldCharType="end"/>
      </w:r>
      <w:r>
        <w:rPr>
          <w:color w:val="auto"/>
          <w:rFonts w:hint="eastAsia"/>
        </w:rPr>
        <w:fldChar w:fldCharType="end"/>
      </w:r>
    </w:p>
    <w:p w14:paraId="0ACE020C">
      <w:pPr>
        <w:pStyle w:val="26"/>
        <w:tabs>
          <w:tab w:val="right" w:leader="dot" w:pos="9060"/>
        </w:tabs>
        <w:rPr>
          <w:color w:val="auto"/>
          <w:sz w:val="22"/>
          <w:szCs w:val="24"/>
          <w:rFonts w:hint="eastAsia" w:eastAsiaTheme="minorEastAsia"/>
        </w:rPr>
      </w:pPr>
      <w:r>
        <w:rPr>
          <w:color w:val="auto"/>
        </w:rPr>
        <w:fldChar w:fldCharType="begin"/>
      </w:r>
      <w:r>
        <w:rPr>
          <w:color w:val="auto"/>
        </w:rPr>
        <w:instrText xml:space="preserve"> HYPERLINK \l "_Toc244176418" </w:instrText>
      </w:r>
      <w:r>
        <w:rPr>
          <w:color w:val="auto"/>
        </w:rPr>
        <w:fldChar w:fldCharType="separate"/>
      </w:r>
      <w:r>
        <w:rPr>
          <w:rStyle w:val="38"/>
          <w:b w:val="1"/>
          <w:color w:val="auto"/>
          <w:bCs/>
          <w:rFonts w:ascii="宋体" w:hAnsi="宋体" w:eastAsia="宋体"/>
        </w:rPr>
        <w:t>6.3 验收标准</w:t>
      </w:r>
      <w:r>
        <w:tab/>
        <w:rPr>
          <w:color w:val="auto"/>
          <w:rFonts w:hint="eastAsia"/>
        </w:rPr>
      </w:r>
      <w:r>
        <w:rPr>
          <w:color w:val="auto"/>
          <w:rFonts w:hint="eastAsia"/>
        </w:rPr>
        <w:fldChar w:fldCharType="begin"/>
      </w:r>
      <w:r>
        <w:rPr>
          <w:color w:val="auto"/>
          <w:rFonts w:hint="eastAsia"/>
        </w:rPr>
        <w:instrText xml:space="preserve"> </w:instrText>
      </w:r>
      <w:r>
        <w:rPr>
          <w:color w:val="auto"/>
        </w:rPr>
        <w:instrText xml:space="preserve">PAGEREF _Toc244176418 \h</w:instrText>
      </w:r>
      <w:r>
        <w:rPr>
          <w:color w:val="auto"/>
          <w:rFonts w:hint="eastAsia"/>
        </w:rPr>
        <w:instrText xml:space="preserve"> </w:instrText>
      </w:r>
      <w:r>
        <w:rPr>
          <w:color w:val="auto"/>
          <w:rFonts w:hint="eastAsia"/>
        </w:rPr>
        <w:fldChar w:fldCharType="separate"/>
      </w:r>
      <w:r>
        <w:rPr>
          <w:color w:val="auto"/>
          <w:rFonts w:hint="eastAsia"/>
        </w:rPr>
        <w:t>25</w:t>
      </w:r>
      <w:r>
        <w:rPr>
          <w:color w:val="auto"/>
          <w:rFonts w:hint="eastAsia"/>
        </w:rPr>
        <w:fldChar w:fldCharType="end"/>
      </w:r>
      <w:r>
        <w:rPr>
          <w:color w:val="auto"/>
          <w:rFonts w:hint="eastAsia"/>
        </w:rPr>
        <w:fldChar w:fldCharType="end"/>
      </w:r>
    </w:p>
    <w:p w14:paraId="1C31392A">
      <w:pPr>
        <w:pStyle w:val="22"/>
        <w:tabs>
          <w:tab w:val="right" w:leader="dot" w:pos="9060"/>
        </w:tabs>
        <w:rPr>
          <w:b w:val="0"/>
          <w:color w:val="auto"/>
          <w:sz w:val="22"/>
          <w:bCs w:val="0"/>
          <w:szCs w:val="24"/>
          <w:rFonts w:hint="eastAsia" w:eastAsiaTheme="minorEastAsia"/>
        </w:rPr>
      </w:pPr>
      <w:r>
        <w:rPr>
          <w:color w:val="auto"/>
        </w:rPr>
        <w:fldChar w:fldCharType="begin"/>
      </w:r>
      <w:r>
        <w:rPr>
          <w:color w:val="auto"/>
        </w:rPr>
        <w:instrText xml:space="preserve"> HYPERLINK \l "_Toc244176419" </w:instrText>
      </w:r>
      <w:r>
        <w:rPr>
          <w:color w:val="auto"/>
        </w:rPr>
        <w:fldChar w:fldCharType="separate"/>
      </w:r>
      <w:r>
        <w:rPr>
          <w:rStyle w:val="38"/>
          <w:color w:val="auto"/>
          <w:rFonts w:ascii="宋体" w:hAnsi="宋体" w:eastAsia="宋体"/>
        </w:rPr>
        <w:t>七、技术资料交付</w:t>
      </w:r>
      <w:r>
        <w:tab/>
        <w:rPr>
          <w:color w:val="auto"/>
          <w:rFonts w:hint="eastAsia"/>
        </w:rPr>
      </w:r>
      <w:r>
        <w:rPr>
          <w:color w:val="auto"/>
          <w:rFonts w:hint="eastAsia"/>
        </w:rPr>
        <w:fldChar w:fldCharType="begin"/>
      </w:r>
      <w:r>
        <w:rPr>
          <w:color w:val="auto"/>
          <w:rFonts w:hint="eastAsia"/>
        </w:rPr>
        <w:instrText xml:space="preserve"> </w:instrText>
      </w:r>
      <w:r>
        <w:rPr>
          <w:color w:val="auto"/>
        </w:rPr>
        <w:instrText xml:space="preserve">PAGEREF _Toc244176419 \h</w:instrText>
      </w:r>
      <w:r>
        <w:rPr>
          <w:color w:val="auto"/>
          <w:rFonts w:hint="eastAsia"/>
        </w:rPr>
        <w:instrText xml:space="preserve"> </w:instrText>
      </w:r>
      <w:r>
        <w:rPr>
          <w:color w:val="auto"/>
          <w:rFonts w:hint="eastAsia"/>
        </w:rPr>
        <w:fldChar w:fldCharType="separate"/>
      </w:r>
      <w:r>
        <w:rPr>
          <w:color w:val="auto"/>
          <w:rFonts w:hint="eastAsia"/>
        </w:rPr>
        <w:t>26</w:t>
      </w:r>
      <w:r>
        <w:rPr>
          <w:color w:val="auto"/>
          <w:rFonts w:hint="eastAsia"/>
        </w:rPr>
        <w:fldChar w:fldCharType="end"/>
      </w:r>
      <w:r>
        <w:rPr>
          <w:color w:val="auto"/>
          <w:rFonts w:hint="eastAsia"/>
        </w:rPr>
        <w:fldChar w:fldCharType="end"/>
      </w:r>
    </w:p>
    <w:p w14:paraId="276AB994">
      <w:pPr>
        <w:pStyle w:val="22"/>
        <w:tabs>
          <w:tab w:val="right" w:leader="dot" w:pos="9060"/>
        </w:tabs>
        <w:rPr>
          <w:b w:val="0"/>
          <w:color w:val="auto"/>
          <w:sz w:val="22"/>
          <w:bCs w:val="0"/>
          <w:szCs w:val="24"/>
          <w:rFonts w:hint="eastAsia" w:eastAsiaTheme="minorEastAsia"/>
        </w:rPr>
      </w:pPr>
      <w:r>
        <w:rPr>
          <w:color w:val="auto"/>
        </w:rPr>
        <w:fldChar w:fldCharType="begin"/>
      </w:r>
      <w:r>
        <w:rPr>
          <w:color w:val="auto"/>
        </w:rPr>
        <w:instrText xml:space="preserve"> HYPERLINK \l "_Toc244176420" </w:instrText>
      </w:r>
      <w:r>
        <w:rPr>
          <w:color w:val="auto"/>
        </w:rPr>
        <w:fldChar w:fldCharType="separate"/>
      </w:r>
      <w:r>
        <w:rPr>
          <w:rStyle w:val="38"/>
          <w:color w:val="auto"/>
          <w:rFonts w:ascii="宋体" w:hAnsi="宋体" w:eastAsia="宋体"/>
        </w:rPr>
        <w:t>八、技术服务、培训与质量保证</w:t>
      </w:r>
      <w:r>
        <w:tab/>
        <w:rPr>
          <w:color w:val="auto"/>
          <w:rFonts w:hint="eastAsia"/>
        </w:rPr>
      </w:r>
      <w:r>
        <w:rPr>
          <w:color w:val="auto"/>
          <w:rFonts w:hint="eastAsia"/>
        </w:rPr>
        <w:fldChar w:fldCharType="begin"/>
      </w:r>
      <w:r>
        <w:rPr>
          <w:color w:val="auto"/>
          <w:rFonts w:hint="eastAsia"/>
        </w:rPr>
        <w:instrText xml:space="preserve"> </w:instrText>
      </w:r>
      <w:r>
        <w:rPr>
          <w:color w:val="auto"/>
        </w:rPr>
        <w:instrText xml:space="preserve">PAGEREF _Toc244176420 \h</w:instrText>
      </w:r>
      <w:r>
        <w:rPr>
          <w:color w:val="auto"/>
          <w:rFonts w:hint="eastAsia"/>
        </w:rPr>
        <w:instrText xml:space="preserve"> </w:instrText>
      </w:r>
      <w:r>
        <w:rPr>
          <w:color w:val="auto"/>
          <w:rFonts w:hint="eastAsia"/>
        </w:rPr>
        <w:fldChar w:fldCharType="separate"/>
      </w:r>
      <w:r>
        <w:rPr>
          <w:color w:val="auto"/>
          <w:rFonts w:hint="eastAsia"/>
        </w:rPr>
        <w:t>26</w:t>
      </w:r>
      <w:r>
        <w:rPr>
          <w:color w:val="auto"/>
          <w:rFonts w:hint="eastAsia"/>
        </w:rPr>
        <w:fldChar w:fldCharType="end"/>
      </w:r>
      <w:r>
        <w:rPr>
          <w:color w:val="auto"/>
          <w:rFonts w:hint="eastAsia"/>
        </w:rPr>
        <w:fldChar w:fldCharType="end"/>
      </w:r>
    </w:p>
    <w:p w14:paraId="50A5FAF3">
      <w:pPr>
        <w:jc w:val="left"/>
        <w:spacing w:after="120" w:before="120" w:line="360" w:lineRule="auto"/>
        <w:rPr>
          <w:color w:val="auto"/>
          <w:sz w:val="24"/>
          <w:szCs w:val="24"/>
          <w:rFonts w:ascii="宋体" w:hAnsi="宋体" w:eastAsia="宋体" w:hint="eastAsia"/>
        </w:rPr>
      </w:pPr>
      <w:r>
        <w:rPr>
          <w:color w:val="auto"/>
          <w:sz w:val="24"/>
          <w:szCs w:val="24"/>
          <w:rFonts w:ascii="宋体" w:hAnsi="宋体" w:eastAsia="宋体" w:hint="eastAsia"/>
        </w:rPr>
        <w:fldChar w:fldCharType="end"/>
      </w:r>
    </w:p>
    <w:p w14:paraId="2F6C669D">
      <w:pPr>
        <w:jc w:val="left"/>
        <w:spacing w:after="120" w:before="120" w:line="360" w:lineRule="auto"/>
        <w:rPr>
          <w:color w:val="auto"/>
          <w:sz w:val="24"/>
          <w:szCs w:val="24"/>
          <w:rFonts w:ascii="宋体" w:hAnsi="宋体" w:eastAsia="宋体"/>
        </w:rPr>
      </w:pPr>
    </w:p>
    <w:p w14:paraId="3B2937E2">
      <w:pPr>
        <w:jc w:val="left"/>
        <w:spacing w:after="120" w:before="120" w:line="360" w:lineRule="auto"/>
        <w:rPr>
          <w:color w:val="auto"/>
          <w:sz w:val="24"/>
          <w:szCs w:val="24"/>
          <w:rFonts w:ascii="宋体" w:hAnsi="宋体" w:eastAsia="宋体"/>
        </w:rPr>
      </w:pPr>
    </w:p>
    <w:p w14:paraId="546D17AB">
      <w:pPr>
        <w:jc w:val="left"/>
        <w:spacing w:after="120" w:before="120" w:line="360" w:lineRule="auto"/>
        <w:rPr>
          <w:color w:val="auto"/>
          <w:sz w:val="24"/>
          <w:szCs w:val="24"/>
          <w:rFonts w:ascii="宋体" w:hAnsi="宋体" w:eastAsia="宋体"/>
        </w:rPr>
      </w:pPr>
    </w:p>
    <w:p w14:paraId="2EC8C4BE">
      <w:pPr>
        <w:jc w:val="left"/>
        <w:spacing w:after="120" w:before="120" w:line="360" w:lineRule="auto"/>
        <w:rPr>
          <w:color w:val="auto"/>
          <w:sz w:val="24"/>
          <w:szCs w:val="24"/>
          <w:rFonts w:ascii="宋体" w:hAnsi="宋体" w:eastAsia="宋体"/>
        </w:rPr>
      </w:pPr>
    </w:p>
    <w:p w14:paraId="4900BCFF">
      <w:pPr>
        <w:jc w:val="left"/>
        <w:spacing w:after="120" w:before="120" w:line="360" w:lineRule="auto"/>
        <w:rPr>
          <w:color w:val="auto"/>
          <w:sz w:val="24"/>
          <w:szCs w:val="24"/>
          <w:rFonts w:ascii="宋体" w:hAnsi="宋体" w:eastAsia="宋体"/>
        </w:rPr>
      </w:pPr>
    </w:p>
    <w:p w14:paraId="14146B24">
      <w:pPr>
        <w:jc w:val="left"/>
        <w:spacing w:after="120" w:before="120" w:line="360" w:lineRule="auto"/>
        <w:rPr>
          <w:color w:val="auto"/>
          <w:sz w:val="24"/>
          <w:szCs w:val="24"/>
          <w:rFonts w:ascii="宋体" w:hAnsi="宋体" w:eastAsia="宋体" w:hint="eastAsia"/>
        </w:rPr>
        <w:sectPr>
          <w:footerReference r:id="rId7" w:type="first"/>
          <w:titlePg/>
          <w:docGrid w:type="lines" w:linePitch="312" w:charSpace="0"/>
          <w:pgSz w:w="11906" w:h="16838"/>
          <w:pgMar w:top="1418" w:right="1418" w:bottom="1418" w:left="1418" w:header="851" w:footer="992" w:gutter="0"/>
          <w:pgNumType w:start="1"/>
          <w:pgNumType w:start="1"/>
          <w:cols w:space="425" w:num="1"/>
        </w:sectPr>
      </w:pPr>
    </w:p>
    <w:p w14:paraId="6B51249B">
      <w:pPr>
        <w:jc w:val="left"/>
        <w:outlineLvl w:val="0"/>
        <w:spacing w:after="120" w:before="120" w:line="360" w:lineRule="auto"/>
        <w:rPr>
          <w:b w:val="1"/>
          <w:color w:val="auto"/>
          <w:sz w:val="30"/>
          <w:bCs/>
          <w:szCs w:val="30"/>
          <w:rFonts w:ascii="宋体" w:hAnsi="宋体" w:eastAsia="宋体" w:hint="eastAsia"/>
        </w:rPr>
      </w:pPr>
      <w:bookmarkStart w:id="0" w:name="_Toc244176378"/>
      <w:bookmarkStart w:id="1" w:name="_Toc244176109"/>
      <w:r>
        <w:rPr>
          <w:b w:val="1"/>
          <w:color w:val="auto"/>
          <w:sz w:val="30"/>
          <w:bCs/>
          <w:szCs w:val="30"/>
          <w:rFonts w:ascii="宋体" w:hAnsi="宋体" w:eastAsia="宋体" w:hint="eastAsia"/>
        </w:rPr>
        <w:t>一、总则</w:t>
      </w:r>
      <w:bookmarkEnd w:id="0"/>
      <w:bookmarkEnd w:id="1"/>
    </w:p>
    <w:p w14:paraId="22F63317">
      <w:pPr>
        <w:jc w:val="left"/>
        <w:outlineLvl w:val="1"/>
        <w:spacing w:after="120" w:before="120" w:line="360" w:lineRule="auto"/>
        <w:rPr>
          <w:b w:val="1"/>
          <w:color w:val="auto"/>
          <w:sz w:val="28"/>
          <w:bCs/>
          <w:szCs w:val="28"/>
          <w:rFonts w:ascii="宋体" w:hAnsi="宋体" w:eastAsia="宋体" w:hint="eastAsia"/>
        </w:rPr>
      </w:pPr>
      <w:bookmarkStart w:id="3" w:name="_Toc244176379"/>
      <w:bookmarkStart w:id="4" w:name="_Toc244176110"/>
      <w:r>
        <w:rPr>
          <w:b w:val="1"/>
          <w:color w:val="auto"/>
          <w:sz w:val="28"/>
          <w:bCs/>
          <w:szCs w:val="28"/>
          <w:rFonts w:ascii="宋体" w:hAnsi="宋体" w:eastAsia="宋体" w:hint="eastAsia"/>
        </w:rPr>
        <w:t>1.1 引言</w:t>
      </w:r>
      <w:bookmarkEnd w:id="3"/>
      <w:bookmarkEnd w:id="4"/>
    </w:p>
    <w:p w14:paraId="336ADD84">
      <w:pPr>
        <w:jc w:val="left"/>
        <w:spacing w:after="120" w:before="120" w:line="360" w:lineRule="auto"/>
        <w:ind w:firstLine="480" w:firstLineChars="200"/>
        <w:rPr>
          <w:color w:val="auto"/>
          <w:sz w:val="24"/>
          <w:szCs w:val="24"/>
          <w:rFonts w:ascii="宋体" w:hAnsi="宋体" w:eastAsia="宋体" w:hint="eastAsia"/>
        </w:rPr>
      </w:pPr>
      <w:r>
        <w:rPr>
          <w:color w:val="auto"/>
          <w:sz w:val="24"/>
          <w:szCs w:val="24"/>
          <w:rFonts w:ascii="宋体" w:hAnsi="宋体" w:eastAsia="宋体"/>
        </w:rPr>
        <w:t>本规范依据国家、电力行业及网络安全相关标准编制，用于统一本项目智慧用电运维管理系统的技术要求，作为系统设计、软硬件供货、集成实施、联调测试、竣工验收、质保及后期运维的技术依据。</w:t>
      </w:r>
    </w:p>
    <w:p w14:paraId="418207E5">
      <w:pPr>
        <w:jc w:val="left"/>
        <w:spacing w:after="120" w:before="120" w:line="360" w:lineRule="auto"/>
        <w:ind w:firstLine="480" w:firstLineChars="200"/>
        <w:rPr>
          <w:color w:val="auto"/>
          <w:sz w:val="24"/>
          <w:szCs w:val="24"/>
          <w:rFonts w:ascii="宋体" w:hAnsi="宋体" w:eastAsia="宋体" w:hint="eastAsia"/>
        </w:rPr>
      </w:pPr>
      <w:r>
        <w:rPr>
          <w:color w:val="auto"/>
          <w:sz w:val="24"/>
          <w:szCs w:val="24"/>
          <w:rFonts w:ascii="宋体" w:hAnsi="宋体" w:eastAsia="宋体" w:hint="eastAsia"/>
        </w:rPr>
        <w:t>本规范提出了</w:t>
      </w:r>
      <w:r>
        <w:rPr>
          <w:color w:val="auto"/>
          <w:sz w:val="24"/>
          <w:szCs w:val="24"/>
          <w:rFonts w:ascii="宋体" w:hAnsi="宋体" w:eastAsia="宋体"/>
        </w:rPr>
        <w:t>本项目范围内配电室、低压配电回路、末端用电回路的智慧用电运维管理系统建设、改造、集成与验收</w:t>
      </w:r>
      <w:r>
        <w:rPr>
          <w:color w:val="auto"/>
          <w:sz w:val="24"/>
          <w:szCs w:val="24"/>
          <w:rFonts w:ascii="宋体" w:hAnsi="宋体" w:eastAsia="宋体" w:hint="eastAsia"/>
        </w:rPr>
        <w:t>等。</w:t>
      </w:r>
    </w:p>
    <w:p w14:paraId="3475AD6A">
      <w:pPr>
        <w:jc w:val="left"/>
        <w:spacing w:after="120" w:before="120" w:line="360" w:lineRule="auto"/>
        <w:ind w:firstLine="480" w:firstLineChars="200"/>
        <w:rPr>
          <w:color w:val="auto"/>
          <w:sz w:val="24"/>
          <w:szCs w:val="24"/>
          <w:rFonts w:ascii="宋体" w:hAnsi="宋体" w:eastAsia="宋体" w:hint="eastAsia"/>
        </w:rPr>
      </w:pPr>
      <w:r>
        <w:rPr>
          <w:color w:val="auto"/>
          <w:sz w:val="24"/>
          <w:szCs w:val="24"/>
          <w:rFonts w:ascii="宋体" w:hAnsi="宋体" w:eastAsia="宋体" w:hint="eastAsia"/>
        </w:rPr>
        <w:t>本规范提出的是最低限度的要求，并未对一切技术细节作出规定，也未充分引述有关标准和规范的条文，投标方应提供符合本规范和工业标准的优质产品。</w:t>
      </w:r>
    </w:p>
    <w:p w14:paraId="218A9174">
      <w:pPr>
        <w:jc w:val="left"/>
        <w:spacing w:after="120" w:before="120" w:line="360" w:lineRule="auto"/>
        <w:ind w:firstLine="480" w:firstLineChars="200"/>
        <w:rPr>
          <w:color w:val="auto"/>
          <w:sz w:val="24"/>
          <w:szCs w:val="24"/>
          <w:rFonts w:ascii="宋体" w:hAnsi="宋体" w:eastAsia="宋体" w:hint="eastAsia"/>
        </w:rPr>
      </w:pPr>
      <w:r>
        <w:rPr>
          <w:color w:val="auto"/>
          <w:sz w:val="24"/>
          <w:szCs w:val="24"/>
          <w:rFonts w:ascii="宋体" w:hAnsi="宋体" w:eastAsia="宋体" w:hint="eastAsia"/>
        </w:rPr>
        <w:t>如果投标方没有以书面形式对本规范的条文提出异议，则表示投标方提供的设备完全符合本规范的要求；如有异议，应在报价书中以“对规范的意见和同规范的差异”为标题的专门章节中加以详细描述。</w:t>
      </w:r>
    </w:p>
    <w:p w14:paraId="5BFACFBA">
      <w:pPr>
        <w:jc w:val="left"/>
        <w:spacing w:after="120" w:before="120" w:line="360" w:lineRule="auto"/>
        <w:ind w:firstLine="480" w:firstLineChars="200"/>
        <w:rPr>
          <w:color w:val="auto"/>
          <w:sz w:val="24"/>
          <w:szCs w:val="24"/>
          <w:rFonts w:ascii="宋体" w:hAnsi="宋体" w:eastAsia="宋体" w:hint="eastAsia"/>
        </w:rPr>
      </w:pPr>
      <w:r>
        <w:rPr>
          <w:color w:val="auto"/>
          <w:sz w:val="24"/>
          <w:szCs w:val="24"/>
          <w:rFonts w:ascii="宋体" w:hAnsi="宋体" w:eastAsia="宋体" w:hint="eastAsia"/>
        </w:rPr>
        <w:t>本规范所使用的标准如遇与投标方所执行的标准不一致按较高的标准执行。</w:t>
      </w:r>
    </w:p>
    <w:p w14:paraId="40000270">
      <w:pPr>
        <w:jc w:val="left"/>
        <w:spacing w:after="120" w:before="120" w:line="360" w:lineRule="auto"/>
        <w:ind w:firstLine="480" w:firstLineChars="200"/>
        <w:rPr>
          <w:color w:val="auto"/>
          <w:sz w:val="24"/>
          <w:szCs w:val="24"/>
          <w:rFonts w:ascii="宋体" w:hAnsi="宋体" w:eastAsia="宋体" w:hint="eastAsia"/>
        </w:rPr>
      </w:pPr>
      <w:r>
        <w:rPr>
          <w:color w:val="auto"/>
          <w:sz w:val="24"/>
          <w:szCs w:val="24"/>
          <w:rFonts w:ascii="宋体" w:hAnsi="宋体" w:eastAsia="宋体" w:hint="eastAsia"/>
        </w:rPr>
        <w:t>本规范经招、投标双方确认后作为订货合同的技术附件，与合同正文具有同等效力。</w:t>
      </w:r>
    </w:p>
    <w:p w14:paraId="5B6A63CB">
      <w:pPr>
        <w:jc w:val="left"/>
        <w:outlineLvl w:val="1"/>
        <w:spacing w:after="120" w:before="120" w:line="360" w:lineRule="auto"/>
        <w:rPr>
          <w:b w:val="1"/>
          <w:color w:val="auto"/>
          <w:sz w:val="28"/>
          <w:bCs/>
          <w:szCs w:val="28"/>
          <w:rFonts w:ascii="宋体" w:hAnsi="宋体" w:eastAsia="宋体" w:hint="eastAsia"/>
        </w:rPr>
      </w:pPr>
      <w:bookmarkStart w:id="5" w:name="_Toc244176111"/>
      <w:bookmarkStart w:id="6" w:name="_Toc244176380"/>
      <w:r>
        <w:rPr>
          <w:b w:val="1"/>
          <w:color w:val="auto"/>
          <w:sz w:val="28"/>
          <w:bCs/>
          <w:szCs w:val="28"/>
          <w:rFonts w:ascii="宋体" w:hAnsi="宋体" w:eastAsia="宋体" w:hint="eastAsia"/>
        </w:rPr>
        <w:t>1.2　供方职责</w:t>
      </w:r>
      <w:bookmarkEnd w:id="5"/>
      <w:bookmarkEnd w:id="6"/>
    </w:p>
    <w:p w14:paraId="1B834C2C">
      <w:pPr>
        <w:jc w:val="left"/>
        <w:spacing w:after="120" w:before="120" w:line="360" w:lineRule="auto"/>
        <w:ind w:firstLine="480" w:firstLineChars="200"/>
        <w:rPr>
          <w:color w:val="auto"/>
          <w:sz w:val="24"/>
          <w:szCs w:val="24"/>
          <w:rFonts w:ascii="宋体" w:hAnsi="宋体" w:eastAsia="宋体" w:hint="eastAsia"/>
        </w:rPr>
      </w:pPr>
      <w:r>
        <w:rPr>
          <w:color w:val="auto"/>
          <w:sz w:val="24"/>
          <w:szCs w:val="24"/>
          <w:rFonts w:ascii="宋体" w:hAnsi="宋体" w:eastAsia="宋体" w:hint="eastAsia"/>
        </w:rPr>
        <w:t>供方的工作范围将包括但不限于下列内容：</w:t>
      </w:r>
    </w:p>
    <w:p w14:paraId="69A5E49F">
      <w:pPr>
        <w:jc w:val="left"/>
        <w:spacing w:after="120" w:before="120" w:line="360" w:lineRule="auto"/>
        <w:ind w:firstLine="480" w:firstLineChars="200"/>
        <w:rPr>
          <w:color w:val="auto"/>
          <w:sz w:val="24"/>
          <w:szCs w:val="24"/>
          <w:rFonts w:ascii="宋体" w:hAnsi="宋体" w:eastAsia="宋体" w:hint="eastAsia"/>
        </w:rPr>
      </w:pPr>
      <w:r>
        <w:rPr>
          <w:color w:val="auto"/>
          <w:sz w:val="24"/>
          <w:szCs w:val="24"/>
          <w:rFonts w:ascii="宋体" w:hAnsi="宋体" w:eastAsia="宋体" w:hint="eastAsia"/>
        </w:rPr>
        <w:t>1. 负责智慧用电运维管理系统全套软硬件供货、方案设计、软件开发、集成调试、联调测试工作；</w:t>
      </w:r>
    </w:p>
    <w:p w14:paraId="1C40868C">
      <w:pPr>
        <w:jc w:val="left"/>
        <w:spacing w:after="120" w:before="120" w:line="360" w:lineRule="auto"/>
        <w:ind w:firstLine="480" w:firstLineChars="200"/>
        <w:rPr>
          <w:color w:val="auto"/>
          <w:sz w:val="24"/>
          <w:szCs w:val="24"/>
          <w:rFonts w:ascii="宋体" w:hAnsi="宋体" w:eastAsia="宋体" w:hint="eastAsia"/>
        </w:rPr>
      </w:pPr>
      <w:r>
        <w:rPr>
          <w:color w:val="auto"/>
          <w:sz w:val="24"/>
          <w:szCs w:val="24"/>
          <w:rFonts w:ascii="宋体" w:hAnsi="宋体" w:eastAsia="宋体" w:hint="eastAsia"/>
        </w:rPr>
        <w:t>2. 负责系统数据对接，保障数据采集、上传、告警正常；</w:t>
      </w:r>
    </w:p>
    <w:p w14:paraId="72767A14">
      <w:pPr>
        <w:jc w:val="left"/>
        <w:spacing w:after="120" w:before="120" w:line="360" w:lineRule="auto"/>
        <w:ind w:firstLine="480" w:firstLineChars="200"/>
        <w:rPr>
          <w:color w:val="auto"/>
          <w:sz w:val="24"/>
          <w:szCs w:val="24"/>
          <w:rFonts w:ascii="宋体" w:hAnsi="宋体" w:eastAsia="宋体" w:hint="eastAsia"/>
        </w:rPr>
      </w:pPr>
      <w:r>
        <w:rPr>
          <w:color w:val="auto"/>
          <w:sz w:val="24"/>
          <w:szCs w:val="24"/>
          <w:rFonts w:ascii="宋体" w:hAnsi="宋体" w:eastAsia="宋体" w:hint="eastAsia"/>
        </w:rPr>
        <w:t>3. 负责提供全套技术资料、图纸、操作及维护文档，开展运维培训；</w:t>
      </w:r>
    </w:p>
    <w:p w14:paraId="46364D92">
      <w:pPr>
        <w:jc w:val="left"/>
        <w:spacing w:after="120" w:before="120" w:line="360" w:lineRule="auto"/>
        <w:ind w:firstLine="480" w:firstLineChars="200"/>
        <w:rPr>
          <w:color w:val="auto"/>
          <w:sz w:val="24"/>
          <w:szCs w:val="24"/>
          <w:rFonts w:ascii="宋体" w:hAnsi="宋体" w:eastAsia="宋体" w:hint="eastAsia"/>
        </w:rPr>
      </w:pPr>
      <w:r>
        <w:rPr>
          <w:color w:val="auto"/>
          <w:sz w:val="24"/>
          <w:szCs w:val="24"/>
          <w:rFonts w:ascii="宋体" w:hAnsi="宋体" w:eastAsia="宋体" w:hint="eastAsia"/>
        </w:rPr>
        <w:t>4. 配合需方完成各阶段验收，对系统整体质量、稳定性、数据准确性负责；</w:t>
      </w:r>
    </w:p>
    <w:p w14:paraId="2C4AC111">
      <w:pPr>
        <w:jc w:val="left"/>
        <w:spacing w:after="120" w:before="120" w:line="360" w:lineRule="auto"/>
        <w:ind w:firstLine="480" w:firstLineChars="200"/>
        <w:rPr>
          <w:color w:val="auto"/>
          <w:sz w:val="24"/>
          <w:szCs w:val="24"/>
          <w:rFonts w:ascii="宋体" w:hAnsi="宋体" w:eastAsia="宋体" w:hint="eastAsia"/>
        </w:rPr>
      </w:pPr>
      <w:r>
        <w:rPr>
          <w:color w:val="auto"/>
          <w:sz w:val="24"/>
          <w:szCs w:val="24"/>
          <w:rFonts w:ascii="宋体" w:hAnsi="宋体" w:eastAsia="宋体" w:hint="eastAsia"/>
        </w:rPr>
        <w:t>5. 按合同约定提供质保服务、故障响应、技术支持，保障系统持续可用；</w:t>
      </w:r>
    </w:p>
    <w:p w14:paraId="6AE4C155">
      <w:pPr>
        <w:jc w:val="left"/>
        <w:spacing w:after="120" w:before="120" w:line="360" w:lineRule="auto"/>
        <w:ind w:firstLine="480" w:firstLineChars="200"/>
        <w:rPr>
          <w:color w:val="auto"/>
          <w:sz w:val="24"/>
          <w:szCs w:val="24"/>
          <w:rFonts w:ascii="宋体" w:hAnsi="宋体" w:eastAsia="宋体" w:hint="eastAsia"/>
        </w:rPr>
      </w:pPr>
      <w:r>
        <w:rPr>
          <w:color w:val="auto"/>
          <w:sz w:val="24"/>
          <w:szCs w:val="24"/>
          <w:rFonts w:ascii="宋体" w:hAnsi="宋体" w:eastAsia="宋体" w:hint="eastAsia"/>
        </w:rPr>
        <w:t>6. 承担产品知识产权责任，确保无侵权。</w:t>
      </w:r>
    </w:p>
    <w:p w14:paraId="59BD041C">
      <w:pPr>
        <w:jc w:val="left"/>
        <w:outlineLvl w:val="0"/>
        <w:spacing w:after="120" w:before="120" w:line="360" w:lineRule="auto"/>
        <w:rPr>
          <w:b w:val="1"/>
          <w:color w:val="auto"/>
          <w:sz w:val="30"/>
          <w:bCs/>
          <w:szCs w:val="30"/>
          <w:rFonts w:ascii="宋体" w:hAnsi="宋体" w:eastAsia="宋体" w:hint="eastAsia"/>
        </w:rPr>
      </w:pPr>
      <w:bookmarkStart w:id="7" w:name="_Toc244176381"/>
      <w:bookmarkStart w:id="8" w:name="_Toc244176112"/>
      <w:r>
        <w:rPr>
          <w:b w:val="1"/>
          <w:color w:val="auto"/>
          <w:sz w:val="30"/>
          <w:bCs/>
          <w:szCs w:val="30"/>
          <w:rFonts w:ascii="宋体" w:hAnsi="宋体" w:eastAsia="宋体" w:hint="eastAsia"/>
        </w:rPr>
        <w:t>二、项目现状</w:t>
      </w:r>
      <w:bookmarkEnd w:id="7"/>
      <w:bookmarkEnd w:id="8"/>
    </w:p>
    <w:p w14:paraId="15937D42">
      <w:pPr>
        <w:jc w:val="left"/>
        <w:outlineLvl w:val="1"/>
        <w:spacing w:after="120" w:before="120" w:line="360" w:lineRule="auto"/>
        <w:rPr>
          <w:b w:val="1"/>
          <w:color w:val="auto"/>
          <w:sz w:val="28"/>
          <w:bCs/>
          <w:szCs w:val="28"/>
          <w:rFonts w:ascii="宋体" w:hAnsi="宋体" w:eastAsia="宋体" w:hint="eastAsia"/>
        </w:rPr>
      </w:pPr>
      <w:bookmarkStart w:id="9" w:name="_Toc244176113"/>
      <w:bookmarkStart w:id="10" w:name="_Toc244176382"/>
      <w:r>
        <w:rPr>
          <w:b w:val="1"/>
          <w:color w:val="auto"/>
          <w:sz w:val="28"/>
          <w:bCs/>
          <w:szCs w:val="28"/>
          <w:rFonts w:ascii="宋体" w:hAnsi="宋体" w:eastAsia="宋体" w:hint="eastAsia"/>
        </w:rPr>
        <w:t>2.1 配电室</w:t>
      </w:r>
      <w:r>
        <w:rPr>
          <w:b w:val="1"/>
          <w:color w:val="auto"/>
          <w:sz w:val="28"/>
          <w:bCs/>
          <w:szCs w:val="28"/>
          <w:rFonts w:ascii="宋体" w:hAnsi="宋体" w:eastAsia="宋体"/>
        </w:rPr>
        <w:t>概况</w:t>
      </w:r>
      <w:bookmarkEnd w:id="9"/>
      <w:bookmarkEnd w:id="10"/>
    </w:p>
    <w:p w14:paraId="356F20AD">
      <w:pPr>
        <w:jc w:val="left"/>
        <w:spacing w:after="120" w:before="120" w:line="360" w:lineRule="auto"/>
        <w:ind w:firstLine="480" w:firstLineChars="200"/>
        <w:rPr>
          <w:color w:val="auto"/>
          <w:sz w:val="24"/>
          <w:szCs w:val="24"/>
          <w:rFonts w:ascii="宋体" w:hAnsi="宋体" w:eastAsia="宋体" w:hint="eastAsia"/>
        </w:rPr>
      </w:pPr>
      <w:r>
        <w:rPr>
          <w:color w:val="auto"/>
          <w:sz w:val="24"/>
          <w:szCs w:val="24"/>
          <w:rFonts w:ascii="宋体" w:hAnsi="宋体" w:eastAsia="宋体" w:hint="eastAsia"/>
        </w:rPr>
        <w:t>成都八一骨科</w:t>
      </w:r>
      <w:r>
        <w:rPr>
          <w:color w:val="auto"/>
          <w:sz w:val="24"/>
          <w:szCs w:val="24"/>
          <w:rFonts w:ascii="宋体" w:hAnsi="宋体" w:eastAsia="宋体"/>
        </w:rPr>
        <w:t>医院（</w:t>
      </w:r>
      <w:r>
        <w:rPr>
          <w:color w:val="auto"/>
          <w:sz w:val="24"/>
          <w:szCs w:val="24"/>
          <w:rFonts w:ascii="宋体" w:hAnsi="宋体" w:eastAsia="宋体" w:hint="eastAsia"/>
        </w:rPr>
        <w:t>青羊区</w:t>
      </w:r>
      <w:r>
        <w:rPr>
          <w:color w:val="auto"/>
          <w:sz w:val="24"/>
          <w:szCs w:val="24"/>
          <w:rFonts w:ascii="宋体" w:hAnsi="宋体" w:eastAsia="宋体"/>
        </w:rPr>
        <w:t>院区）</w:t>
      </w:r>
      <w:r>
        <w:rPr>
          <w:color w:val="auto"/>
          <w:sz w:val="24"/>
          <w:szCs w:val="24"/>
          <w:rFonts w:ascii="宋体" w:hAnsi="宋体" w:eastAsia="宋体" w:hint="eastAsia"/>
        </w:rPr>
        <w:t>从市政</w:t>
      </w:r>
      <w:r>
        <w:rPr>
          <w:color w:val="auto"/>
          <w:sz w:val="24"/>
          <w:szCs w:val="24"/>
          <w:rFonts w:ascii="宋体" w:hAnsi="宋体" w:eastAsia="宋体"/>
        </w:rPr>
        <w:t>引入</w:t>
      </w:r>
      <w:r>
        <w:rPr>
          <w:color w:val="auto"/>
          <w:sz w:val="24"/>
          <w:szCs w:val="24"/>
          <w:rFonts w:ascii="宋体" w:hAnsi="宋体" w:eastAsia="宋体" w:hint="eastAsia"/>
        </w:rPr>
        <w:t>1路10</w:t>
      </w:r>
      <w:r>
        <w:rPr>
          <w:color w:val="auto"/>
          <w:sz w:val="24"/>
          <w:szCs w:val="24"/>
          <w:rFonts w:ascii="宋体" w:hAnsi="宋体" w:eastAsia="宋体"/>
        </w:rPr>
        <w:t>kV市电电源</w:t>
      </w:r>
      <w:r>
        <w:rPr>
          <w:color w:val="auto"/>
          <w:sz w:val="24"/>
          <w:szCs w:val="24"/>
          <w:rFonts w:ascii="宋体" w:hAnsi="宋体" w:eastAsia="宋体" w:hint="eastAsia"/>
        </w:rPr>
        <w:t>，</w:t>
      </w:r>
      <w:r>
        <w:rPr>
          <w:color w:val="auto"/>
          <w:sz w:val="24"/>
          <w:szCs w:val="24"/>
          <w:rFonts w:ascii="宋体" w:hAnsi="宋体" w:eastAsia="宋体"/>
        </w:rPr>
        <w:t>接入院区</w:t>
      </w:r>
      <w:r>
        <w:rPr>
          <w:color w:val="auto"/>
          <w:sz w:val="24"/>
          <w:szCs w:val="24"/>
          <w:rFonts w:ascii="宋体" w:hAnsi="宋体" w:eastAsia="宋体" w:hint="eastAsia"/>
        </w:rPr>
        <w:t>10</w:t>
      </w:r>
      <w:r>
        <w:rPr>
          <w:color w:val="auto"/>
          <w:sz w:val="24"/>
          <w:szCs w:val="24"/>
          <w:rFonts w:ascii="宋体" w:hAnsi="宋体" w:eastAsia="宋体"/>
        </w:rPr>
        <w:t>kV配电室。</w:t>
      </w:r>
      <w:r>
        <w:rPr>
          <w:color w:val="auto"/>
          <w:sz w:val="24"/>
          <w:szCs w:val="24"/>
          <w:rFonts w:ascii="宋体" w:hAnsi="宋体" w:eastAsia="宋体" w:hint="eastAsia"/>
        </w:rPr>
        <w:t>配电室</w:t>
      </w:r>
      <w:r>
        <w:rPr>
          <w:color w:val="auto"/>
          <w:sz w:val="24"/>
          <w:szCs w:val="24"/>
          <w:rFonts w:ascii="宋体" w:hAnsi="宋体" w:eastAsia="宋体"/>
        </w:rPr>
        <w:t>内配置</w:t>
      </w:r>
      <w:r>
        <w:rPr>
          <w:color w:val="auto"/>
          <w:sz w:val="24"/>
          <w:szCs w:val="24"/>
          <w:rFonts w:ascii="宋体" w:hAnsi="宋体" w:eastAsia="宋体" w:hint="eastAsia"/>
        </w:rPr>
        <w:t>630k</w:t>
      </w:r>
      <w:r>
        <w:rPr>
          <w:color w:val="auto"/>
          <w:sz w:val="24"/>
          <w:szCs w:val="24"/>
          <w:rFonts w:ascii="宋体" w:hAnsi="宋体" w:eastAsia="宋体"/>
        </w:rPr>
        <w:t>VA</w:t>
      </w:r>
      <w:r>
        <w:rPr>
          <w:color w:val="auto"/>
          <w:sz w:val="24"/>
          <w:szCs w:val="24"/>
          <w:rFonts w:ascii="宋体" w:hAnsi="宋体" w:eastAsia="宋体" w:hint="eastAsia"/>
        </w:rPr>
        <w:t>、500</w:t>
      </w:r>
      <w:r>
        <w:rPr>
          <w:color w:val="auto"/>
          <w:sz w:val="24"/>
          <w:szCs w:val="24"/>
          <w:rFonts w:ascii="宋体" w:hAnsi="宋体" w:eastAsia="宋体"/>
        </w:rPr>
        <w:t>kVA干式变压器各一台。</w:t>
      </w:r>
      <w:r>
        <w:rPr>
          <w:color w:val="auto"/>
          <w:sz w:val="24"/>
          <w:szCs w:val="24"/>
          <w:rFonts w:ascii="宋体" w:hAnsi="宋体" w:eastAsia="宋体" w:hint="eastAsia"/>
        </w:rPr>
        <w:t>低压侧</w:t>
      </w:r>
      <w:r>
        <w:rPr>
          <w:color w:val="auto"/>
          <w:sz w:val="24"/>
          <w:szCs w:val="24"/>
          <w:rFonts w:ascii="宋体" w:hAnsi="宋体" w:eastAsia="宋体"/>
        </w:rPr>
        <w:t>分多路出</w:t>
      </w:r>
      <w:r>
        <w:rPr>
          <w:color w:val="auto"/>
          <w:sz w:val="24"/>
          <w:szCs w:val="24"/>
          <w:rFonts w:ascii="宋体" w:hAnsi="宋体" w:eastAsia="宋体" w:hint="eastAsia"/>
        </w:rPr>
        <w:t>线</w:t>
      </w:r>
      <w:r>
        <w:rPr>
          <w:color w:val="auto"/>
          <w:sz w:val="24"/>
          <w:szCs w:val="24"/>
          <w:rFonts w:ascii="宋体" w:hAnsi="宋体" w:eastAsia="宋体"/>
        </w:rPr>
        <w:t>，</w:t>
      </w:r>
      <w:r>
        <w:rPr>
          <w:color w:val="auto"/>
          <w:sz w:val="24"/>
          <w:szCs w:val="24"/>
          <w:rFonts w:ascii="宋体" w:hAnsi="宋体" w:eastAsia="宋体" w:hint="eastAsia"/>
        </w:rPr>
        <w:t>釆用区域配电箱统一配电，</w:t>
      </w:r>
      <w:r>
        <w:rPr>
          <w:color w:val="auto"/>
          <w:sz w:val="24"/>
          <w:szCs w:val="24"/>
          <w:rFonts w:ascii="宋体" w:hAnsi="宋体" w:eastAsia="宋体"/>
        </w:rPr>
        <w:t>覆盖</w:t>
      </w:r>
      <w:r>
        <w:rPr>
          <w:color w:val="auto"/>
          <w:sz w:val="24"/>
          <w:szCs w:val="24"/>
          <w:rFonts w:ascii="宋体" w:hAnsi="宋体" w:eastAsia="宋体" w:hint="eastAsia"/>
        </w:rPr>
        <w:t>1#门诊</w:t>
      </w:r>
      <w:r>
        <w:rPr>
          <w:color w:val="auto"/>
          <w:sz w:val="24"/>
          <w:szCs w:val="24"/>
          <w:rFonts w:ascii="宋体" w:hAnsi="宋体" w:eastAsia="宋体"/>
        </w:rPr>
        <w:t>主楼，</w:t>
      </w:r>
      <w:r>
        <w:rPr>
          <w:color w:val="auto"/>
          <w:sz w:val="24"/>
          <w:szCs w:val="24"/>
          <w:rFonts w:ascii="宋体" w:hAnsi="宋体" w:eastAsia="宋体" w:hint="eastAsia"/>
        </w:rPr>
        <w:t>2#楼，3#楼</w:t>
      </w:r>
      <w:r>
        <w:rPr>
          <w:color w:val="auto"/>
          <w:sz w:val="24"/>
          <w:szCs w:val="24"/>
          <w:rFonts w:ascii="宋体" w:hAnsi="宋体" w:eastAsia="宋体"/>
        </w:rPr>
        <w:t>以及</w:t>
      </w:r>
      <w:r>
        <w:rPr>
          <w:color w:val="auto"/>
          <w:sz w:val="24"/>
          <w:szCs w:val="24"/>
          <w:rFonts w:ascii="宋体" w:hAnsi="宋体" w:eastAsia="宋体" w:hint="eastAsia"/>
        </w:rPr>
        <w:t>院区</w:t>
      </w:r>
      <w:r>
        <w:rPr>
          <w:color w:val="auto"/>
          <w:sz w:val="24"/>
          <w:szCs w:val="24"/>
          <w:rFonts w:ascii="宋体" w:hAnsi="宋体" w:eastAsia="宋体"/>
        </w:rPr>
        <w:t>内外停车场</w:t>
      </w:r>
      <w:r>
        <w:rPr>
          <w:color w:val="auto"/>
          <w:sz w:val="24"/>
          <w:szCs w:val="24"/>
          <w:rFonts w:ascii="宋体" w:hAnsi="宋体" w:eastAsia="宋体" w:hint="eastAsia"/>
        </w:rPr>
        <w:t>等。</w:t>
      </w:r>
    </w:p>
    <w:p w14:paraId="02F3F894">
      <w:pPr>
        <w:jc w:val="left"/>
        <w:spacing w:after="120" w:before="120" w:line="360" w:lineRule="auto"/>
        <w:rPr>
          <w:color w:val="auto"/>
          <w:sz w:val="24"/>
          <w:szCs w:val="24"/>
          <w:rFonts w:ascii="宋体" w:hAnsi="宋体" w:eastAsia="宋体" w:hint="eastAsia"/>
        </w:rPr>
      </w:pPr>
      <w:r>
        <w:rPr>
          <w:color w:val="auto"/>
          <w:sz w:val="24"/>
          <w:szCs w:val="24"/>
          <w:rFonts w:ascii="宋体" w:hAnsi="宋体" w:eastAsia="宋体" w:hint="eastAsia"/>
        </w:rPr>
        <w:t>（1）目前采用的是指针式仪表，</w:t>
      </w:r>
      <w:r>
        <w:rPr>
          <w:color w:val="auto"/>
          <w:sz w:val="24"/>
          <w:szCs w:val="24"/>
          <w:rFonts w:ascii="宋体" w:hAnsi="宋体" w:eastAsia="宋体"/>
        </w:rPr>
        <w:t>未实现电流、电压等电气参数的自动化采集</w:t>
      </w:r>
      <w:r>
        <w:rPr>
          <w:color w:val="auto"/>
          <w:sz w:val="24"/>
          <w:szCs w:val="24"/>
          <w:rFonts w:ascii="宋体" w:hAnsi="宋体" w:eastAsia="宋体" w:hint="eastAsia"/>
        </w:rPr>
        <w:t>。</w:t>
      </w:r>
    </w:p>
    <w:p w14:paraId="1D5FFF18">
      <w:pPr>
        <w:jc w:val="center"/>
        <w:spacing w:after="120" w:before="120" w:line="360" w:lineRule="auto"/>
        <w:rPr>
          <w:color w:val="auto"/>
          <w:sz w:val="24"/>
          <w:szCs w:val="24"/>
          <w:rFonts w:ascii="宋体" w:hAnsi="宋体" w:eastAsia="宋体" w:hint="eastAsia"/>
        </w:rPr>
      </w:pPr>
      <w:r>
        <w:rPr>
          <w:color w:val="auto"/>
          <w:sz w:val="24"/>
          <w:szCs w:val="24"/>
          <w:rFonts w:ascii="宋体" w:hAnsi="宋体" w:eastAsia="宋体"/>
        </w:rPr>
        <w:drawing>
          <wp:inline distT="0" distB="0" distL="0" distR="0">
            <wp:extent cx="2415540" cy="1811020"/>
            <wp:effectExtent l="0" t="0" r="3810" b="0"/>
            <wp:docPr id="1" name="图片 2" descr="C:\Users\admin\xwechat_files\wxid_4zz0hbrxt8sy22_4528\temp\RWTemp\2026-10\41f646ebcb5b9673e2687d0f72af17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xwechat_files\wxid_4zz0hbrxt8sy22_4528\temp\RWTemp\2026-10\41f646ebcb5b9673e2687d0f72af1723.jpg"/>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419144" cy="1814004"/>
                    </a:xfrm>
                    <a:prstGeom prst="rect">
                      <a:avLst/>
                    </a:prstGeom>
                    <a:noFill/>
                    <a:ln w="12700">
                      <a:noFill/>
                    </a:ln>
                  </pic:spPr>
                </pic:pic>
              </a:graphicData>
            </a:graphic>
          </wp:inline>
        </w:drawing>
      </w:r>
    </w:p>
    <w:p w14:paraId="4F743461">
      <w:pPr>
        <w:jc w:val="left"/>
        <w:spacing w:after="120" w:before="120" w:line="360" w:lineRule="auto"/>
        <w:rPr>
          <w:color w:val="auto"/>
          <w:sz w:val="24"/>
          <w:szCs w:val="24"/>
          <w:rFonts w:ascii="宋体" w:hAnsi="宋体" w:eastAsia="宋体" w:hint="eastAsia"/>
        </w:rPr>
      </w:pPr>
      <w:r>
        <w:rPr>
          <w:color w:val="auto"/>
          <w:sz w:val="24"/>
          <w:szCs w:val="24"/>
          <w:rFonts w:ascii="宋体" w:hAnsi="宋体" w:eastAsia="宋体" w:hint="eastAsia"/>
        </w:rPr>
        <w:t>（2）主</w:t>
      </w:r>
      <w:r>
        <w:rPr>
          <w:color w:val="auto"/>
          <w:sz w:val="24"/>
          <w:szCs w:val="24"/>
          <w:rFonts w:ascii="宋体" w:hAnsi="宋体" w:eastAsia="宋体"/>
        </w:rPr>
        <w:t>变压器</w:t>
      </w:r>
      <w:r>
        <w:rPr>
          <w:color w:val="auto"/>
          <w:sz w:val="24"/>
          <w:szCs w:val="24"/>
          <w:rFonts w:ascii="宋体" w:hAnsi="宋体" w:eastAsia="宋体" w:hint="eastAsia"/>
        </w:rPr>
        <w:t>的</w:t>
      </w:r>
      <w:r>
        <w:rPr>
          <w:color w:val="auto"/>
          <w:sz w:val="24"/>
          <w:szCs w:val="24"/>
          <w:rFonts w:ascii="宋体" w:hAnsi="宋体" w:eastAsia="宋体"/>
        </w:rPr>
        <w:t>温度、</w:t>
      </w:r>
      <w:r>
        <w:rPr>
          <w:color w:val="auto"/>
          <w:sz w:val="24"/>
          <w:szCs w:val="24"/>
          <w:rFonts w:ascii="宋体" w:hAnsi="宋体" w:eastAsia="宋体" w:hint="eastAsia"/>
        </w:rPr>
        <w:t>运行</w:t>
      </w:r>
      <w:r>
        <w:rPr>
          <w:color w:val="auto"/>
          <w:sz w:val="24"/>
          <w:szCs w:val="24"/>
          <w:rFonts w:ascii="宋体" w:hAnsi="宋体" w:eastAsia="宋体"/>
        </w:rPr>
        <w:t>负荷等重要信息</w:t>
      </w:r>
      <w:r>
        <w:rPr>
          <w:color w:val="auto"/>
          <w:sz w:val="24"/>
          <w:szCs w:val="24"/>
          <w:rFonts w:ascii="宋体" w:hAnsi="宋体" w:eastAsia="宋体" w:hint="eastAsia"/>
        </w:rPr>
        <w:t>均未实现</w:t>
      </w:r>
      <w:r>
        <w:rPr>
          <w:color w:val="auto"/>
          <w:sz w:val="24"/>
          <w:szCs w:val="24"/>
          <w:rFonts w:ascii="宋体" w:hAnsi="宋体" w:eastAsia="宋体"/>
        </w:rPr>
        <w:t>自动采集</w:t>
      </w:r>
      <w:r>
        <w:rPr>
          <w:color w:val="auto"/>
          <w:sz w:val="24"/>
          <w:szCs w:val="24"/>
          <w:rFonts w:ascii="宋体" w:hAnsi="宋体" w:eastAsia="宋体" w:hint="eastAsia"/>
        </w:rPr>
        <w:t>和数据上传。</w:t>
      </w:r>
    </w:p>
    <w:p w14:paraId="26BE8D53">
      <w:pPr>
        <w:jc w:val="center"/>
        <w:spacing w:after="120" w:before="120" w:line="360" w:lineRule="auto"/>
        <w:rPr>
          <w:color w:val="auto"/>
          <w:sz w:val="24"/>
          <w:szCs w:val="24"/>
          <w:rFonts w:ascii="宋体" w:hAnsi="宋体" w:eastAsia="宋体" w:hint="eastAsia"/>
        </w:rPr>
      </w:pPr>
      <w:r>
        <w:rPr>
          <w:color w:val="auto"/>
        </w:rPr>
        <w:drawing>
          <wp:inline distT="0" distB="0" distL="0" distR="0">
            <wp:extent cx="3337560" cy="2922905"/>
            <wp:effectExtent l="0" t="0" r="0" b="0"/>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12"/>
                    <a:srcRect t="35795"/>
                    <a:stretch>
                      <a:fillRect/>
                    </a:stretch>
                  </pic:blipFill>
                  <pic:spPr>
                    <a:xfrm>
                      <a:off x="0" y="0"/>
                      <a:ext cx="3343681" cy="2928641"/>
                    </a:xfrm>
                    <a:prstGeom prst="rect">
                      <a:avLst/>
                    </a:prstGeom>
                    <a:ln w="12700">
                      <a:noFill/>
                    </a:ln>
                  </pic:spPr>
                </pic:pic>
              </a:graphicData>
            </a:graphic>
          </wp:inline>
        </w:drawing>
      </w:r>
    </w:p>
    <w:p w14:paraId="105A9620">
      <w:pPr>
        <w:jc w:val="left"/>
        <w:spacing w:after="120" w:before="120" w:line="360" w:lineRule="auto"/>
        <w:rPr>
          <w:color w:val="auto"/>
          <w:sz w:val="24"/>
          <w:szCs w:val="24"/>
          <w:rFonts w:ascii="宋体" w:hAnsi="宋体" w:eastAsia="宋体" w:hint="eastAsia"/>
        </w:rPr>
      </w:pPr>
      <w:r>
        <w:rPr>
          <w:color w:val="auto"/>
          <w:sz w:val="24"/>
          <w:szCs w:val="24"/>
          <w:rFonts w:ascii="宋体" w:hAnsi="宋体" w:eastAsia="宋体" w:hint="eastAsia"/>
        </w:rPr>
        <w:t>（</w:t>
      </w:r>
      <w:r>
        <w:rPr>
          <w:color w:val="auto"/>
          <w:sz w:val="24"/>
          <w:szCs w:val="24"/>
          <w:rFonts w:ascii="宋体" w:hAnsi="宋体" w:eastAsia="宋体"/>
        </w:rPr>
        <w:t>3</w:t>
      </w:r>
      <w:r>
        <w:rPr>
          <w:color w:val="auto"/>
          <w:sz w:val="24"/>
          <w:szCs w:val="24"/>
          <w:rFonts w:ascii="宋体" w:hAnsi="宋体" w:eastAsia="宋体" w:hint="eastAsia"/>
        </w:rPr>
        <w:t>）站内</w:t>
      </w:r>
      <w:r>
        <w:rPr>
          <w:color w:val="auto"/>
          <w:sz w:val="24"/>
          <w:szCs w:val="24"/>
          <w:rFonts w:ascii="宋体" w:hAnsi="宋体" w:eastAsia="宋体"/>
        </w:rPr>
        <w:t>保护装置</w:t>
      </w:r>
      <w:r>
        <w:rPr>
          <w:color w:val="auto"/>
          <w:sz w:val="24"/>
          <w:szCs w:val="24"/>
          <w:rFonts w:ascii="宋体" w:hAnsi="宋体" w:eastAsia="宋体" w:hint="eastAsia"/>
        </w:rPr>
        <w:t>运行年限</w:t>
      </w:r>
      <w:r>
        <w:rPr>
          <w:color w:val="auto"/>
          <w:sz w:val="24"/>
          <w:szCs w:val="24"/>
          <w:rFonts w:ascii="宋体" w:hAnsi="宋体" w:eastAsia="宋体"/>
        </w:rPr>
        <w:t>久</w:t>
      </w:r>
      <w:r>
        <w:rPr>
          <w:color w:val="auto"/>
          <w:sz w:val="24"/>
          <w:szCs w:val="24"/>
          <w:rFonts w:ascii="宋体" w:hAnsi="宋体" w:eastAsia="宋体" w:hint="eastAsia"/>
        </w:rPr>
        <w:t>，</w:t>
      </w:r>
      <w:r>
        <w:rPr>
          <w:color w:val="auto"/>
          <w:sz w:val="24"/>
          <w:szCs w:val="24"/>
          <w:rFonts w:ascii="宋体" w:hAnsi="宋体" w:eastAsia="宋体"/>
        </w:rPr>
        <w:t>不具备保护</w:t>
      </w:r>
      <w:r>
        <w:rPr>
          <w:color w:val="auto"/>
          <w:sz w:val="24"/>
          <w:szCs w:val="24"/>
          <w:rFonts w:ascii="宋体" w:hAnsi="宋体" w:eastAsia="宋体" w:hint="eastAsia"/>
        </w:rPr>
        <w:t>动作</w:t>
      </w:r>
      <w:r>
        <w:rPr>
          <w:color w:val="auto"/>
          <w:sz w:val="24"/>
          <w:szCs w:val="24"/>
          <w:rFonts w:ascii="宋体" w:hAnsi="宋体" w:eastAsia="宋体"/>
        </w:rPr>
        <w:t>信号</w:t>
      </w:r>
      <w:r>
        <w:rPr>
          <w:color w:val="auto"/>
          <w:sz w:val="24"/>
          <w:szCs w:val="24"/>
          <w:rFonts w:ascii="宋体" w:hAnsi="宋体" w:eastAsia="宋体" w:hint="eastAsia"/>
        </w:rPr>
        <w:t>上</w:t>
      </w:r>
      <w:r>
        <w:rPr>
          <w:color w:val="auto"/>
          <w:sz w:val="24"/>
          <w:szCs w:val="24"/>
          <w:rFonts w:ascii="宋体" w:hAnsi="宋体" w:eastAsia="宋体"/>
        </w:rPr>
        <w:t>传</w:t>
      </w:r>
      <w:r>
        <w:rPr>
          <w:color w:val="auto"/>
          <w:sz w:val="24"/>
          <w:szCs w:val="24"/>
          <w:rFonts w:ascii="宋体" w:hAnsi="宋体" w:eastAsia="宋体" w:hint="eastAsia"/>
        </w:rPr>
        <w:t>到</w:t>
      </w:r>
      <w:r>
        <w:rPr>
          <w:color w:val="auto"/>
          <w:sz w:val="24"/>
          <w:szCs w:val="24"/>
          <w:rFonts w:ascii="宋体" w:hAnsi="宋体" w:eastAsia="宋体"/>
        </w:rPr>
        <w:t>电力监控</w:t>
      </w:r>
      <w:r>
        <w:rPr>
          <w:color w:val="auto"/>
          <w:sz w:val="24"/>
          <w:szCs w:val="24"/>
          <w:rFonts w:ascii="宋体" w:hAnsi="宋体" w:eastAsia="宋体" w:hint="eastAsia"/>
        </w:rPr>
        <w:t>后台</w:t>
      </w:r>
      <w:r>
        <w:rPr>
          <w:color w:val="auto"/>
          <w:sz w:val="24"/>
          <w:szCs w:val="24"/>
          <w:rFonts w:ascii="宋体" w:hAnsi="宋体" w:eastAsia="宋体"/>
        </w:rPr>
        <w:t>的通信功能</w:t>
      </w:r>
      <w:r>
        <w:rPr>
          <w:color w:val="auto"/>
          <w:sz w:val="24"/>
          <w:szCs w:val="24"/>
          <w:rFonts w:ascii="宋体" w:hAnsi="宋体" w:eastAsia="宋体" w:hint="eastAsia"/>
        </w:rPr>
        <w:t>。</w:t>
      </w:r>
    </w:p>
    <w:p w14:paraId="270C5F0C">
      <w:pPr>
        <w:jc w:val="center"/>
        <w:spacing w:after="120" w:before="120" w:line="360" w:lineRule="auto"/>
        <w:rPr>
          <w:color w:val="auto"/>
          <w:sz w:val="24"/>
          <w:szCs w:val="24"/>
          <w:rFonts w:ascii="宋体" w:hAnsi="宋体" w:eastAsia="宋体" w:hint="eastAsia"/>
        </w:rPr>
      </w:pPr>
      <w:r>
        <w:rPr>
          <w:color w:val="auto"/>
          <w:sz w:val="24"/>
          <w:szCs w:val="24"/>
          <w:rFonts w:ascii="宋体" w:hAnsi="宋体" w:eastAsia="宋体"/>
        </w:rPr>
        <w:drawing>
          <wp:inline distT="0" distB="0" distL="0" distR="0">
            <wp:extent cx="3665220" cy="2445385"/>
            <wp:effectExtent l="0" t="0" r="0" b="0"/>
            <wp:docPr id="3" name="图片 6" descr="C:\Users\admin\xwechat_files\wxid_4zz0hbrxt8sy22_4528\temp\RWTemp\2026-10\0b7f036b3a815e0abb2612b62546c1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admin\xwechat_files\wxid_4zz0hbrxt8sy22_4528\temp\RWTemp\2026-10\0b7f036b3a815e0abb2612b62546c1d4.jpg"/>
                    <pic:cNvPicPr/>
                  </pic:nvPicPr>
                  <pic:blipFill>
                    <a:blip r:embed="rId13" cstate="print">
                      <a:extLst>
                        <a:ext uri="{28A0092B-C50C-407E-A947-70E740481C1C}">
                          <a14:useLocalDpi xmlns:a14="http://schemas.microsoft.com/office/drawing/2010/main" val="0"/>
                        </a:ext>
                      </a:extLst>
                    </a:blip>
                    <a:srcRect r="8393" b="18510"/>
                    <a:stretch>
                      <a:fillRect/>
                    </a:stretch>
                  </pic:blipFill>
                  <pic:spPr>
                    <a:xfrm>
                      <a:off x="0" y="0"/>
                      <a:ext cx="3666883" cy="2446418"/>
                    </a:xfrm>
                    <a:prstGeom prst="rect">
                      <a:avLst/>
                    </a:prstGeom>
                    <a:noFill/>
                    <a:ln w="12700">
                      <a:noFill/>
                    </a:ln>
                  </pic:spPr>
                </pic:pic>
              </a:graphicData>
            </a:graphic>
          </wp:inline>
        </w:drawing>
      </w:r>
    </w:p>
    <w:p w14:paraId="22C1EEE5">
      <w:pPr>
        <w:jc w:val="left"/>
        <w:spacing w:after="120" w:before="120" w:line="360" w:lineRule="auto"/>
        <w:rPr>
          <w:color w:val="auto"/>
          <w:sz w:val="24"/>
          <w:szCs w:val="24"/>
          <w:rFonts w:ascii="宋体" w:hAnsi="宋体" w:eastAsia="宋体" w:hint="eastAsia"/>
        </w:rPr>
      </w:pPr>
      <w:r>
        <w:rPr>
          <w:color w:val="auto"/>
          <w:sz w:val="24"/>
          <w:szCs w:val="24"/>
          <w:rFonts w:ascii="宋体" w:hAnsi="宋体" w:eastAsia="宋体" w:hint="eastAsia"/>
        </w:rPr>
        <w:t>（</w:t>
      </w:r>
      <w:r>
        <w:rPr>
          <w:color w:val="auto"/>
          <w:sz w:val="24"/>
          <w:szCs w:val="24"/>
          <w:rFonts w:ascii="宋体" w:hAnsi="宋体" w:eastAsia="宋体"/>
        </w:rPr>
        <w:t>4</w:t>
      </w:r>
      <w:r>
        <w:rPr>
          <w:color w:val="auto"/>
          <w:sz w:val="24"/>
          <w:szCs w:val="24"/>
          <w:rFonts w:ascii="宋体" w:hAnsi="宋体" w:eastAsia="宋体" w:hint="eastAsia"/>
        </w:rPr>
        <w:t>）配电箱内部分用电设备因长时间使用而老化，长时间使用的电线可能存在老化或磨损而出现破损等问题，导致线路裸露，增加触电和短路的风险。没有</w:t>
      </w:r>
      <w:r>
        <w:rPr>
          <w:color w:val="auto"/>
          <w:sz w:val="24"/>
          <w:szCs w:val="24"/>
          <w:rFonts w:ascii="宋体" w:hAnsi="宋体" w:eastAsia="宋体"/>
        </w:rPr>
        <w:t>漏电保护</w:t>
      </w:r>
      <w:r>
        <w:rPr>
          <w:color w:val="auto"/>
          <w:sz w:val="24"/>
          <w:szCs w:val="24"/>
          <w:rFonts w:ascii="宋体" w:hAnsi="宋体" w:eastAsia="宋体" w:hint="eastAsia"/>
        </w:rPr>
        <w:t>装置</w:t>
      </w:r>
      <w:r>
        <w:rPr>
          <w:color w:val="auto"/>
          <w:sz w:val="24"/>
          <w:szCs w:val="24"/>
          <w:rFonts w:ascii="宋体" w:hAnsi="宋体" w:eastAsia="宋体"/>
        </w:rPr>
        <w:t>等安全措施</w:t>
      </w:r>
      <w:r>
        <w:rPr>
          <w:color w:val="auto"/>
          <w:sz w:val="24"/>
          <w:szCs w:val="24"/>
          <w:rFonts w:ascii="宋体" w:hAnsi="宋体" w:eastAsia="宋体" w:hint="eastAsia"/>
        </w:rPr>
        <w:t>。</w:t>
      </w:r>
    </w:p>
    <w:p w14:paraId="0AE0E510">
      <w:pPr>
        <w:jc w:val="center"/>
        <w:spacing w:after="120" w:before="120" w:line="360" w:lineRule="auto"/>
        <w:rPr>
          <w:color w:val="auto"/>
          <w:sz w:val="24"/>
          <w:szCs w:val="24"/>
          <w:rFonts w:ascii="宋体" w:hAnsi="宋体" w:eastAsia="宋体" w:hint="eastAsia"/>
        </w:rPr>
      </w:pPr>
      <w:r>
        <w:rPr>
          <w:color w:val="auto"/>
        </w:rPr>
        <w:drawing>
          <wp:inline distT="0" distB="0" distL="0" distR="0">
            <wp:extent cx="2194560" cy="3460750"/>
            <wp:effectExtent l="0" t="0" r="0" b="6350"/>
            <wp:docPr id="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4"/>
                    <a:stretch>
                      <a:fillRect/>
                    </a:stretch>
                  </pic:blipFill>
                  <pic:spPr>
                    <a:xfrm>
                      <a:off x="0" y="0"/>
                      <a:ext cx="2201121" cy="3471285"/>
                    </a:xfrm>
                    <a:prstGeom prst="rect">
                      <a:avLst/>
                    </a:prstGeom>
                  </pic:spPr>
                </pic:pic>
              </a:graphicData>
            </a:graphic>
          </wp:inline>
        </w:drawing>
      </w:r>
    </w:p>
    <w:p w14:paraId="7D4FDC31">
      <w:pPr>
        <w:jc w:val="left"/>
        <w:spacing w:after="120" w:before="120" w:line="360" w:lineRule="auto"/>
        <w:rPr>
          <w:color w:val="auto"/>
          <w:sz w:val="24"/>
          <w:szCs w:val="24"/>
          <w:rFonts w:ascii="宋体" w:hAnsi="宋体" w:eastAsia="宋体" w:hint="eastAsia"/>
        </w:rPr>
      </w:pPr>
      <w:r>
        <w:rPr>
          <w:color w:val="auto"/>
          <w:sz w:val="24"/>
          <w:szCs w:val="24"/>
          <w:rFonts w:ascii="宋体" w:hAnsi="宋体" w:eastAsia="宋体" w:hint="eastAsia"/>
        </w:rPr>
        <w:t>（</w:t>
      </w:r>
      <w:r>
        <w:rPr>
          <w:color w:val="auto"/>
          <w:sz w:val="24"/>
          <w:szCs w:val="24"/>
          <w:rFonts w:ascii="宋体" w:hAnsi="宋体" w:eastAsia="宋体"/>
        </w:rPr>
        <w:t>5</w:t>
      </w:r>
      <w:r>
        <w:rPr>
          <w:color w:val="auto"/>
          <w:sz w:val="24"/>
          <w:szCs w:val="24"/>
          <w:rFonts w:ascii="宋体" w:hAnsi="宋体" w:eastAsia="宋体" w:hint="eastAsia"/>
        </w:rPr>
        <w:t>）</w:t>
      </w:r>
      <w:r>
        <w:rPr>
          <w:color w:val="auto"/>
          <w:sz w:val="24"/>
          <w:szCs w:val="24"/>
          <w:rFonts w:ascii="宋体" w:hAnsi="宋体" w:eastAsia="宋体" w:cs="Times New Roman" w:hint="eastAsia"/>
        </w:rPr>
        <w:t>变电站</w:t>
      </w:r>
      <w:r>
        <w:rPr>
          <w:color w:val="auto"/>
          <w:sz w:val="24"/>
          <w:szCs w:val="24"/>
          <w:rFonts w:ascii="宋体" w:hAnsi="宋体" w:eastAsia="宋体" w:cs="Times New Roman"/>
        </w:rPr>
        <w:t>未配置</w:t>
      </w:r>
      <w:r>
        <w:rPr>
          <w:color w:val="auto"/>
          <w:sz w:val="24"/>
          <w:szCs w:val="24"/>
          <w:rFonts w:ascii="宋体" w:hAnsi="宋体" w:eastAsia="宋体" w:cs="Times New Roman" w:hint="eastAsia"/>
        </w:rPr>
        <w:t>任何</w:t>
      </w:r>
      <w:r>
        <w:rPr>
          <w:color w:val="auto"/>
          <w:sz w:val="24"/>
          <w:szCs w:val="24"/>
          <w:rFonts w:ascii="宋体" w:hAnsi="宋体" w:eastAsia="宋体" w:cs="Times New Roman"/>
        </w:rPr>
        <w:t>的</w:t>
      </w:r>
      <w:r>
        <w:rPr>
          <w:color w:val="auto"/>
          <w:sz w:val="24"/>
          <w:szCs w:val="24"/>
          <w:rFonts w:ascii="宋体" w:hAnsi="宋体" w:eastAsia="宋体" w:cs="Times New Roman" w:hint="eastAsia"/>
        </w:rPr>
        <w:t>电力</w:t>
      </w:r>
      <w:r>
        <w:rPr>
          <w:color w:val="auto"/>
          <w:sz w:val="24"/>
          <w:szCs w:val="24"/>
          <w:rFonts w:ascii="宋体" w:hAnsi="宋体" w:eastAsia="宋体" w:cs="Times New Roman"/>
        </w:rPr>
        <w:t>监控系统</w:t>
      </w:r>
      <w:r>
        <w:rPr>
          <w:color w:val="auto"/>
          <w:sz w:val="24"/>
          <w:szCs w:val="24"/>
          <w:rFonts w:ascii="宋体" w:hAnsi="宋体" w:eastAsia="宋体" w:cs="Times New Roman" w:hint="eastAsia"/>
        </w:rPr>
        <w:t>，站内电力数据不能实时地、集中统一管理，导致</w:t>
      </w:r>
      <w:r>
        <w:rPr>
          <w:color w:val="auto"/>
          <w:sz w:val="24"/>
          <w:szCs w:val="24"/>
          <w:rFonts w:ascii="宋体" w:hAnsi="宋体" w:eastAsia="宋体" w:cs="Times New Roman"/>
        </w:rPr>
        <w:t>人工巡检</w:t>
      </w:r>
      <w:r>
        <w:rPr>
          <w:color w:val="auto"/>
          <w:sz w:val="24"/>
          <w:szCs w:val="24"/>
          <w:rFonts w:ascii="宋体" w:hAnsi="宋体" w:eastAsia="宋体" w:cs="Times New Roman" w:hint="eastAsia"/>
        </w:rPr>
        <w:t>无法</w:t>
      </w:r>
      <w:r>
        <w:rPr>
          <w:color w:val="auto"/>
          <w:sz w:val="24"/>
          <w:szCs w:val="24"/>
          <w:rFonts w:ascii="宋体" w:hAnsi="宋体" w:eastAsia="宋体" w:cs="Times New Roman"/>
        </w:rPr>
        <w:t>及时发现漏电、</w:t>
      </w:r>
      <w:r>
        <w:rPr>
          <w:color w:val="auto"/>
          <w:sz w:val="24"/>
          <w:szCs w:val="24"/>
          <w:rFonts w:ascii="宋体" w:hAnsi="宋体" w:eastAsia="宋体" w:cs="Times New Roman" w:hint="eastAsia"/>
        </w:rPr>
        <w:t>短路</w:t>
      </w:r>
      <w:r>
        <w:rPr>
          <w:color w:val="auto"/>
          <w:sz w:val="24"/>
          <w:szCs w:val="24"/>
          <w:rFonts w:ascii="宋体" w:hAnsi="宋体" w:eastAsia="宋体" w:cs="Times New Roman"/>
        </w:rPr>
        <w:t>、超温、过载</w:t>
      </w:r>
      <w:r>
        <w:rPr>
          <w:color w:val="auto"/>
          <w:sz w:val="24"/>
          <w:szCs w:val="24"/>
          <w:rFonts w:ascii="宋体" w:hAnsi="宋体" w:eastAsia="宋体" w:cs="Times New Roman" w:hint="eastAsia"/>
        </w:rPr>
        <w:t>等事故</w:t>
      </w:r>
      <w:r>
        <w:rPr>
          <w:color w:val="auto"/>
          <w:sz w:val="24"/>
          <w:szCs w:val="24"/>
          <w:rFonts w:ascii="宋体" w:hAnsi="宋体" w:eastAsia="宋体" w:cs="Times New Roman"/>
        </w:rPr>
        <w:t>隐患</w:t>
      </w:r>
      <w:r>
        <w:rPr>
          <w:color w:val="auto"/>
          <w:sz w:val="24"/>
          <w:szCs w:val="24"/>
          <w:rFonts w:ascii="宋体" w:hAnsi="宋体" w:eastAsia="宋体" w:cs="Times New Roman" w:hint="eastAsia"/>
        </w:rPr>
        <w:t>。</w:t>
      </w:r>
    </w:p>
    <w:p w14:paraId="414A4B90">
      <w:pPr>
        <w:jc w:val="center"/>
        <w:spacing w:after="120" w:before="120" w:line="360" w:lineRule="auto"/>
        <w:rPr>
          <w:color w:val="auto"/>
          <w:sz w:val="24"/>
          <w:szCs w:val="24"/>
          <w:rFonts w:ascii="宋体" w:hAnsi="宋体" w:eastAsia="宋体"/>
        </w:rPr>
      </w:pPr>
      <w:r>
        <w:rPr>
          <w:color w:val="auto"/>
          <w:sz w:val="24"/>
          <w:szCs w:val="24"/>
          <w:rFonts w:ascii="宋体" w:hAnsi="宋体" w:eastAsia="宋体"/>
        </w:rPr>
        <w:drawing>
          <wp:inline distT="0" distB="0" distL="0" distR="0">
            <wp:extent cx="4958080" cy="3718560"/>
            <wp:effectExtent l="0" t="0" r="0" b="0"/>
            <wp:docPr id="5" name="图片 28" descr="C:\Users\admin\xwechat_files\wxid_4zz0hbrxt8sy22_4528\temp\RWTemp\2026-10\e14e975381447a6561a2f78f4167e8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C:\Users\admin\xwechat_files\wxid_4zz0hbrxt8sy22_4528\temp\RWTemp\2026-10\e14e975381447a6561a2f78f4167e856.jpg"/>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4971263" cy="3728148"/>
                    </a:xfrm>
                    <a:prstGeom prst="rect">
                      <a:avLst/>
                    </a:prstGeom>
                    <a:noFill/>
                    <a:ln w="12700">
                      <a:noFill/>
                    </a:ln>
                  </pic:spPr>
                </pic:pic>
              </a:graphicData>
            </a:graphic>
          </wp:inline>
        </w:drawing>
      </w:r>
    </w:p>
    <w:p w14:paraId="397C795E">
      <w:pPr>
        <w:jc w:val="center"/>
        <w:spacing w:after="120" w:before="120" w:line="360" w:lineRule="auto"/>
        <w:rPr>
          <w:color w:val="auto"/>
          <w:sz w:val="24"/>
          <w:szCs w:val="24"/>
          <w:rFonts w:ascii="宋体" w:hAnsi="宋体" w:eastAsia="宋体"/>
        </w:rPr>
      </w:pPr>
    </w:p>
    <w:p w14:paraId="417D1B7B">
      <w:pPr>
        <w:jc w:val="center"/>
        <w:spacing w:after="120" w:before="120" w:line="360" w:lineRule="auto"/>
        <w:rPr>
          <w:color w:val="auto"/>
          <w:sz w:val="24"/>
          <w:szCs w:val="24"/>
          <w:rFonts w:ascii="宋体" w:hAnsi="宋体" w:eastAsia="宋体" w:hint="eastAsia"/>
        </w:rPr>
      </w:pPr>
    </w:p>
    <w:p w14:paraId="0FA741AF">
      <w:pPr>
        <w:jc w:val="left"/>
        <w:outlineLvl w:val="1"/>
        <w:spacing w:after="120" w:before="120" w:line="360" w:lineRule="auto"/>
        <w:rPr>
          <w:b w:val="1"/>
          <w:color w:val="auto"/>
          <w:sz w:val="28"/>
          <w:bCs/>
          <w:szCs w:val="28"/>
          <w:rFonts w:ascii="宋体" w:hAnsi="宋体" w:eastAsia="宋体"/>
        </w:rPr>
      </w:pPr>
      <w:bookmarkStart w:id="11" w:name="_Toc244176383"/>
      <w:bookmarkStart w:id="12" w:name="_Toc244176114"/>
      <w:r>
        <w:rPr>
          <w:b w:val="1"/>
          <w:color w:val="auto"/>
          <w:sz w:val="28"/>
          <w:bCs/>
          <w:szCs w:val="28"/>
          <w:rFonts w:ascii="宋体" w:hAnsi="宋体" w:eastAsia="宋体" w:hint="eastAsia"/>
        </w:rPr>
        <w:t>2.2 问题分析</w:t>
      </w:r>
      <w:bookmarkEnd w:id="11"/>
      <w:bookmarkEnd w:id="12"/>
    </w:p>
    <w:p w14:paraId="763CF326">
      <w:pPr>
        <w:spacing w:line="360" w:lineRule="auto"/>
        <w:rPr>
          <w:color w:val="auto"/>
          <w:sz w:val="24"/>
          <w:szCs w:val="24"/>
          <w:rFonts w:ascii="宋体" w:hAnsi="宋体" w:eastAsia="宋体" w:cs="Times New Roman" w:hint="eastAsia"/>
        </w:rPr>
      </w:pPr>
      <w:r>
        <w:rPr>
          <w:color w:val="auto"/>
          <w:sz w:val="24"/>
          <w:szCs w:val="24"/>
          <w:rFonts w:ascii="宋体" w:hAnsi="宋体" w:eastAsia="宋体" w:cs="Times New Roman" w:hint="eastAsia"/>
        </w:rPr>
        <w:t xml:space="preserve">    </w:t>
      </w:r>
      <w:r>
        <w:rPr>
          <w:color w:val="auto"/>
          <w:sz w:val="24"/>
          <w:szCs w:val="24"/>
          <w:rFonts w:ascii="宋体" w:hAnsi="宋体" w:eastAsia="宋体" w:hint="eastAsia"/>
        </w:rPr>
        <w:t>成都八一骨科</w:t>
      </w:r>
      <w:r>
        <w:rPr>
          <w:color w:val="auto"/>
          <w:sz w:val="24"/>
          <w:szCs w:val="24"/>
          <w:rFonts w:ascii="宋体" w:hAnsi="宋体" w:eastAsia="宋体"/>
        </w:rPr>
        <w:t>医院（</w:t>
      </w:r>
      <w:r>
        <w:rPr>
          <w:color w:val="auto"/>
          <w:sz w:val="24"/>
          <w:szCs w:val="24"/>
          <w:rFonts w:ascii="宋体" w:hAnsi="宋体" w:eastAsia="宋体" w:hint="eastAsia"/>
        </w:rPr>
        <w:t>青羊区</w:t>
      </w:r>
      <w:r>
        <w:rPr>
          <w:color w:val="auto"/>
          <w:sz w:val="24"/>
          <w:szCs w:val="24"/>
          <w:rFonts w:ascii="宋体" w:hAnsi="宋体" w:eastAsia="宋体"/>
        </w:rPr>
        <w:t>院区）</w:t>
      </w:r>
      <w:r>
        <w:rPr>
          <w:color w:val="auto"/>
          <w:sz w:val="24"/>
          <w:szCs w:val="24"/>
          <w:rFonts w:ascii="宋体" w:hAnsi="宋体" w:eastAsia="宋体" w:cs="Times New Roman" w:hint="eastAsia"/>
        </w:rPr>
        <w:t>配电系统现状分析，</w:t>
      </w:r>
      <w:r>
        <w:rPr>
          <w:color w:val="auto"/>
          <w:sz w:val="24"/>
          <w:bCs/>
          <w:szCs w:val="24"/>
          <w:rFonts w:ascii="宋体" w:hAnsi="宋体" w:eastAsia="宋体" w:hint="eastAsia"/>
        </w:rPr>
        <w:t>整套供电系统基本上是在</w:t>
      </w:r>
      <w:r>
        <w:rPr>
          <w:color w:val="auto"/>
          <w:sz w:val="24"/>
          <w:bCs/>
          <w:szCs w:val="24"/>
          <w:rFonts w:ascii="宋体" w:hAnsi="宋体" w:eastAsia="宋体"/>
        </w:rPr>
        <w:t>2006年期间建设，供配电设备陈旧，且未配备</w:t>
      </w:r>
      <w:r>
        <w:rPr>
          <w:color w:val="auto"/>
          <w:sz w:val="24"/>
          <w:bCs/>
          <w:szCs w:val="24"/>
          <w:rFonts w:ascii="宋体" w:hAnsi="宋体" w:eastAsia="宋体" w:hint="eastAsia"/>
        </w:rPr>
        <w:t>任何</w:t>
      </w:r>
      <w:r>
        <w:rPr>
          <w:color w:val="auto"/>
          <w:sz w:val="24"/>
          <w:bCs/>
          <w:szCs w:val="24"/>
          <w:rFonts w:ascii="宋体" w:hAnsi="宋体" w:eastAsia="宋体"/>
        </w:rPr>
        <w:t>电力监控系统。随着电气线路</w:t>
      </w:r>
      <w:r>
        <w:rPr>
          <w:color w:val="auto"/>
          <w:sz w:val="24"/>
          <w:bCs/>
          <w:szCs w:val="24"/>
          <w:rFonts w:ascii="宋体" w:hAnsi="宋体" w:eastAsia="宋体" w:hint="eastAsia"/>
        </w:rPr>
        <w:t>运行年限的增加</w:t>
      </w:r>
      <w:r>
        <w:rPr>
          <w:color w:val="auto"/>
          <w:sz w:val="24"/>
          <w:bCs/>
          <w:szCs w:val="24"/>
          <w:rFonts w:ascii="宋体" w:hAnsi="宋体" w:eastAsia="宋体"/>
        </w:rPr>
        <w:t>，</w:t>
      </w:r>
      <w:r>
        <w:rPr>
          <w:color w:val="auto"/>
          <w:sz w:val="24"/>
          <w:bCs/>
          <w:szCs w:val="24"/>
          <w:rFonts w:ascii="宋体" w:hAnsi="宋体" w:eastAsia="宋体" w:hint="eastAsia"/>
        </w:rPr>
        <w:t>在</w:t>
      </w:r>
      <w:r>
        <w:rPr>
          <w:color w:val="auto"/>
          <w:sz w:val="24"/>
          <w:bCs/>
          <w:szCs w:val="24"/>
          <w:rFonts w:ascii="宋体" w:hAnsi="宋体" w:eastAsia="宋体"/>
        </w:rPr>
        <w:t>医院内人员</w:t>
      </w:r>
      <w:r>
        <w:rPr>
          <w:color w:val="auto"/>
          <w:sz w:val="24"/>
          <w:bCs/>
          <w:szCs w:val="24"/>
          <w:rFonts w:ascii="宋体" w:hAnsi="宋体" w:eastAsia="宋体" w:hint="eastAsia"/>
        </w:rPr>
        <w:t>比较密集</w:t>
      </w:r>
      <w:r>
        <w:rPr>
          <w:color w:val="auto"/>
          <w:sz w:val="24"/>
          <w:bCs/>
          <w:szCs w:val="24"/>
          <w:rFonts w:ascii="宋体" w:hAnsi="宋体" w:eastAsia="宋体"/>
        </w:rPr>
        <w:t>，贵重</w:t>
      </w:r>
      <w:r>
        <w:rPr>
          <w:color w:val="auto"/>
          <w:sz w:val="24"/>
          <w:bCs/>
          <w:szCs w:val="24"/>
          <w:rFonts w:ascii="宋体" w:hAnsi="宋体" w:eastAsia="宋体" w:hint="eastAsia"/>
        </w:rPr>
        <w:t>医疗设备</w:t>
      </w:r>
      <w:r>
        <w:rPr>
          <w:color w:val="auto"/>
          <w:sz w:val="24"/>
          <w:bCs/>
          <w:szCs w:val="24"/>
          <w:rFonts w:ascii="宋体" w:hAnsi="宋体" w:eastAsia="宋体"/>
        </w:rPr>
        <w:t>较多的环境下，当线路出现漏电、温度升高、短路</w:t>
      </w:r>
      <w:r>
        <w:rPr>
          <w:color w:val="auto"/>
          <w:sz w:val="24"/>
          <w:bCs/>
          <w:szCs w:val="24"/>
          <w:rFonts w:ascii="宋体" w:hAnsi="宋体" w:eastAsia="宋体" w:hint="eastAsia"/>
        </w:rPr>
        <w:t>等故障时</w:t>
      </w:r>
      <w:r>
        <w:rPr>
          <w:color w:val="auto"/>
          <w:sz w:val="24"/>
          <w:bCs/>
          <w:szCs w:val="24"/>
          <w:rFonts w:ascii="宋体" w:hAnsi="宋体" w:eastAsia="宋体"/>
        </w:rPr>
        <w:t>，管理人员无法及时得知，极易形成电气火灾，发生人身安全事故，造成设备及财产的损失。</w:t>
      </w:r>
      <w:r>
        <w:rPr>
          <w:color w:val="auto"/>
          <w:sz w:val="24"/>
          <w:szCs w:val="24"/>
          <w:rFonts w:ascii="宋体" w:hAnsi="宋体" w:eastAsia="宋体" w:cs="Times New Roman" w:hint="eastAsia"/>
        </w:rPr>
        <w:t>主要存在问题有：</w:t>
      </w:r>
    </w:p>
    <w:p w14:paraId="1B48FF87">
      <w:pPr>
        <w:spacing w:line="360" w:lineRule="auto"/>
        <w:rPr>
          <w:color w:val="auto"/>
          <w:sz w:val="24"/>
          <w:szCs w:val="24"/>
          <w:rFonts w:ascii="宋体" w:hAnsi="宋体" w:eastAsia="宋体" w:cs="Times New Roman" w:hint="eastAsia"/>
        </w:rPr>
      </w:pPr>
      <w:r>
        <w:rPr>
          <w:color w:val="auto"/>
          <w:sz w:val="24"/>
          <w:szCs w:val="24"/>
          <w:rFonts w:ascii="宋体" w:hAnsi="宋体" w:eastAsia="宋体" w:cs="Times New Roman" w:hint="eastAsia"/>
        </w:rPr>
        <w:t>（1）目前仍采用的是指针式仪表，</w:t>
      </w:r>
      <w:r>
        <w:rPr>
          <w:color w:val="auto"/>
          <w:sz w:val="24"/>
          <w:szCs w:val="24"/>
          <w:rFonts w:ascii="宋体" w:hAnsi="宋体" w:eastAsia="宋体" w:cs="Times New Roman"/>
        </w:rPr>
        <w:t>未实现电流、电压等电气参数的自动化采集</w:t>
      </w:r>
      <w:r>
        <w:rPr>
          <w:color w:val="auto"/>
          <w:sz w:val="24"/>
          <w:szCs w:val="24"/>
          <w:rFonts w:ascii="宋体" w:hAnsi="宋体" w:eastAsia="宋体" w:cs="Times New Roman" w:hint="eastAsia"/>
        </w:rPr>
        <w:t>，运维人员</w:t>
      </w:r>
      <w:r>
        <w:rPr>
          <w:color w:val="auto"/>
          <w:sz w:val="24"/>
          <w:szCs w:val="24"/>
          <w:rFonts w:ascii="宋体" w:hAnsi="宋体" w:eastAsia="宋体" w:cs="Times New Roman"/>
        </w:rPr>
        <w:t>无法</w:t>
      </w:r>
      <w:r>
        <w:rPr>
          <w:color w:val="auto"/>
          <w:sz w:val="24"/>
          <w:szCs w:val="24"/>
          <w:rFonts w:ascii="宋体" w:hAnsi="宋体" w:eastAsia="宋体" w:cs="Times New Roman" w:hint="eastAsia"/>
        </w:rPr>
        <w:t>实时掌握电路运行</w:t>
      </w:r>
      <w:r>
        <w:rPr>
          <w:color w:val="auto"/>
          <w:sz w:val="24"/>
          <w:szCs w:val="24"/>
          <w:rFonts w:ascii="宋体" w:hAnsi="宋体" w:eastAsia="宋体" w:cs="Times New Roman"/>
        </w:rPr>
        <w:t>状态，</w:t>
      </w:r>
      <w:r>
        <w:rPr>
          <w:color w:val="auto"/>
          <w:sz w:val="24"/>
          <w:szCs w:val="24"/>
          <w:rFonts w:ascii="宋体" w:hAnsi="宋体" w:eastAsia="宋体" w:cs="Times New Roman" w:hint="eastAsia"/>
        </w:rPr>
        <w:t>电站</w:t>
      </w:r>
      <w:r>
        <w:rPr>
          <w:color w:val="auto"/>
          <w:sz w:val="24"/>
          <w:szCs w:val="24"/>
          <w:rFonts w:ascii="宋体" w:hAnsi="宋体" w:eastAsia="宋体" w:cs="Times New Roman"/>
        </w:rPr>
        <w:t>电气参数，长期属于救火</w:t>
      </w:r>
      <w:r>
        <w:rPr>
          <w:color w:val="auto"/>
          <w:sz w:val="24"/>
          <w:szCs w:val="24"/>
          <w:rFonts w:ascii="宋体" w:hAnsi="宋体" w:eastAsia="宋体" w:cs="Times New Roman" w:hint="eastAsia"/>
        </w:rPr>
        <w:t>式运检模式</w:t>
      </w:r>
      <w:r>
        <w:rPr>
          <w:color w:val="auto"/>
          <w:sz w:val="24"/>
          <w:szCs w:val="24"/>
          <w:rFonts w:ascii="宋体" w:hAnsi="宋体" w:eastAsia="宋体" w:cs="Times New Roman"/>
        </w:rPr>
        <w:t>。</w:t>
      </w:r>
      <w:r>
        <w:rPr>
          <w:color w:val="auto"/>
          <w:sz w:val="24"/>
          <w:szCs w:val="24"/>
          <w:rFonts w:ascii="宋体" w:hAnsi="宋体" w:eastAsia="宋体" w:cs="Times New Roman" w:hint="eastAsia"/>
        </w:rPr>
        <w:t>故障</w:t>
      </w:r>
      <w:r>
        <w:rPr>
          <w:color w:val="auto"/>
          <w:sz w:val="24"/>
          <w:szCs w:val="24"/>
          <w:rFonts w:ascii="宋体" w:hAnsi="宋体" w:eastAsia="宋体" w:cs="Times New Roman"/>
        </w:rPr>
        <w:t>响应</w:t>
      </w:r>
      <w:r>
        <w:rPr>
          <w:color w:val="auto"/>
          <w:sz w:val="24"/>
          <w:szCs w:val="24"/>
          <w:rFonts w:ascii="宋体" w:hAnsi="宋体" w:eastAsia="宋体" w:cs="Times New Roman" w:hint="eastAsia"/>
        </w:rPr>
        <w:t>迟缓，用电</w:t>
      </w:r>
      <w:r>
        <w:rPr>
          <w:color w:val="auto"/>
          <w:sz w:val="24"/>
          <w:szCs w:val="24"/>
          <w:rFonts w:ascii="宋体" w:hAnsi="宋体" w:eastAsia="宋体" w:cs="Times New Roman"/>
        </w:rPr>
        <w:t>中断风险增加。</w:t>
      </w:r>
    </w:p>
    <w:p w14:paraId="5A7FA84C">
      <w:pPr>
        <w:jc w:val="left"/>
        <w:spacing w:line="360" w:lineRule="auto"/>
        <w:rPr>
          <w:color w:val="auto"/>
          <w:sz w:val="24"/>
          <w:szCs w:val="24"/>
          <w:rFonts w:ascii="宋体" w:hAnsi="宋体" w:eastAsia="宋体" w:cs="Times New Roman" w:hint="eastAsia"/>
        </w:rPr>
      </w:pPr>
      <w:r>
        <w:rPr>
          <w:color w:val="auto"/>
          <w:sz w:val="24"/>
          <w:szCs w:val="24"/>
          <w:rFonts w:ascii="宋体" w:hAnsi="宋体" w:eastAsia="宋体" w:cs="Times New Roman" w:hint="eastAsia"/>
        </w:rPr>
        <w:t>（2）主</w:t>
      </w:r>
      <w:r>
        <w:rPr>
          <w:color w:val="auto"/>
          <w:sz w:val="24"/>
          <w:szCs w:val="24"/>
          <w:rFonts w:ascii="宋体" w:hAnsi="宋体" w:eastAsia="宋体" w:cs="Times New Roman"/>
        </w:rPr>
        <w:t>变压器</w:t>
      </w:r>
      <w:r>
        <w:rPr>
          <w:color w:val="auto"/>
          <w:sz w:val="24"/>
          <w:szCs w:val="24"/>
          <w:rFonts w:ascii="宋体" w:hAnsi="宋体" w:eastAsia="宋体" w:cs="Times New Roman" w:hint="eastAsia"/>
        </w:rPr>
        <w:t>的</w:t>
      </w:r>
      <w:r>
        <w:rPr>
          <w:color w:val="auto"/>
          <w:sz w:val="24"/>
          <w:szCs w:val="24"/>
          <w:rFonts w:ascii="宋体" w:hAnsi="宋体" w:eastAsia="宋体" w:cs="Times New Roman"/>
        </w:rPr>
        <w:t>温度、</w:t>
      </w:r>
      <w:r>
        <w:rPr>
          <w:color w:val="auto"/>
          <w:sz w:val="24"/>
          <w:szCs w:val="24"/>
          <w:rFonts w:ascii="宋体" w:hAnsi="宋体" w:eastAsia="宋体" w:cs="Times New Roman" w:hint="eastAsia"/>
        </w:rPr>
        <w:t>运行</w:t>
      </w:r>
      <w:r>
        <w:rPr>
          <w:color w:val="auto"/>
          <w:sz w:val="24"/>
          <w:szCs w:val="24"/>
          <w:rFonts w:ascii="宋体" w:hAnsi="宋体" w:eastAsia="宋体" w:cs="Times New Roman"/>
        </w:rPr>
        <w:t>负荷等重要信息</w:t>
      </w:r>
      <w:r>
        <w:rPr>
          <w:color w:val="auto"/>
          <w:sz w:val="24"/>
          <w:szCs w:val="24"/>
          <w:rFonts w:ascii="宋体" w:hAnsi="宋体" w:eastAsia="宋体" w:cs="Times New Roman" w:hint="eastAsia"/>
        </w:rPr>
        <w:t>均未实现</w:t>
      </w:r>
      <w:r>
        <w:rPr>
          <w:color w:val="auto"/>
          <w:sz w:val="24"/>
          <w:szCs w:val="24"/>
          <w:rFonts w:ascii="宋体" w:hAnsi="宋体" w:eastAsia="宋体" w:cs="Times New Roman"/>
        </w:rPr>
        <w:t>自动采集</w:t>
      </w:r>
      <w:r>
        <w:rPr>
          <w:color w:val="auto"/>
          <w:sz w:val="24"/>
          <w:szCs w:val="24"/>
          <w:rFonts w:ascii="宋体" w:hAnsi="宋体" w:eastAsia="宋体" w:cs="Times New Roman" w:hint="eastAsia"/>
        </w:rPr>
        <w:t xml:space="preserve">和数据上传，对于变压器高温告警、超温跳闸等故障信息均不能通知到电站管理部门，给管理部门增加了检修困难，导致故障排除时间更长。 </w:t>
      </w:r>
    </w:p>
    <w:p w14:paraId="6E6845AC">
      <w:pPr>
        <w:jc w:val="left"/>
        <w:spacing w:line="360" w:lineRule="auto"/>
        <w:rPr>
          <w:color w:val="auto"/>
          <w:sz w:val="24"/>
          <w:szCs w:val="24"/>
          <w:rFonts w:ascii="宋体" w:hAnsi="宋体" w:eastAsia="宋体" w:cs="Times New Roman" w:hint="eastAsia"/>
        </w:rPr>
      </w:pPr>
      <w:r>
        <w:rPr>
          <w:color w:val="auto"/>
          <w:sz w:val="24"/>
          <w:szCs w:val="24"/>
          <w:rFonts w:ascii="宋体" w:hAnsi="宋体" w:eastAsia="宋体" w:cs="Times New Roman" w:hint="eastAsia"/>
        </w:rPr>
        <w:t>（3）站内</w:t>
      </w:r>
      <w:r>
        <w:rPr>
          <w:color w:val="auto"/>
          <w:sz w:val="24"/>
          <w:szCs w:val="24"/>
          <w:rFonts w:ascii="宋体" w:hAnsi="宋体" w:eastAsia="宋体" w:cs="Times New Roman"/>
        </w:rPr>
        <w:t>保护装置</w:t>
      </w:r>
      <w:r>
        <w:rPr>
          <w:color w:val="auto"/>
          <w:sz w:val="24"/>
          <w:szCs w:val="24"/>
          <w:rFonts w:ascii="宋体" w:hAnsi="宋体" w:eastAsia="宋体" w:cs="Times New Roman" w:hint="eastAsia"/>
        </w:rPr>
        <w:t>运行年限</w:t>
      </w:r>
      <w:r>
        <w:rPr>
          <w:color w:val="auto"/>
          <w:sz w:val="24"/>
          <w:szCs w:val="24"/>
          <w:rFonts w:ascii="宋体" w:hAnsi="宋体" w:eastAsia="宋体" w:cs="Times New Roman"/>
        </w:rPr>
        <w:t>久</w:t>
      </w:r>
      <w:r>
        <w:rPr>
          <w:color w:val="auto"/>
          <w:sz w:val="24"/>
          <w:szCs w:val="24"/>
          <w:rFonts w:ascii="宋体" w:hAnsi="宋体" w:eastAsia="宋体" w:cs="Times New Roman" w:hint="eastAsia"/>
        </w:rPr>
        <w:t>，且</w:t>
      </w:r>
      <w:r>
        <w:rPr>
          <w:color w:val="auto"/>
          <w:sz w:val="24"/>
          <w:szCs w:val="24"/>
          <w:rFonts w:ascii="宋体" w:hAnsi="宋体" w:eastAsia="宋体" w:cs="Times New Roman"/>
        </w:rPr>
        <w:t>不具备保护</w:t>
      </w:r>
      <w:r>
        <w:rPr>
          <w:color w:val="auto"/>
          <w:sz w:val="24"/>
          <w:szCs w:val="24"/>
          <w:rFonts w:ascii="宋体" w:hAnsi="宋体" w:eastAsia="宋体" w:cs="Times New Roman" w:hint="eastAsia"/>
        </w:rPr>
        <w:t>动作</w:t>
      </w:r>
      <w:r>
        <w:rPr>
          <w:color w:val="auto"/>
          <w:sz w:val="24"/>
          <w:szCs w:val="24"/>
          <w:rFonts w:ascii="宋体" w:hAnsi="宋体" w:eastAsia="宋体" w:cs="Times New Roman"/>
        </w:rPr>
        <w:t>信号</w:t>
      </w:r>
      <w:r>
        <w:rPr>
          <w:color w:val="auto"/>
          <w:sz w:val="24"/>
          <w:szCs w:val="24"/>
          <w:rFonts w:ascii="宋体" w:hAnsi="宋体" w:eastAsia="宋体" w:cs="Times New Roman" w:hint="eastAsia"/>
        </w:rPr>
        <w:t>上</w:t>
      </w:r>
      <w:r>
        <w:rPr>
          <w:color w:val="auto"/>
          <w:sz w:val="24"/>
          <w:szCs w:val="24"/>
          <w:rFonts w:ascii="宋体" w:hAnsi="宋体" w:eastAsia="宋体" w:cs="Times New Roman"/>
        </w:rPr>
        <w:t>传</w:t>
      </w:r>
      <w:r>
        <w:rPr>
          <w:color w:val="auto"/>
          <w:sz w:val="24"/>
          <w:szCs w:val="24"/>
          <w:rFonts w:ascii="宋体" w:hAnsi="宋体" w:eastAsia="宋体" w:cs="Times New Roman" w:hint="eastAsia"/>
        </w:rPr>
        <w:t>到</w:t>
      </w:r>
      <w:r>
        <w:rPr>
          <w:color w:val="auto"/>
          <w:sz w:val="24"/>
          <w:szCs w:val="24"/>
          <w:rFonts w:ascii="宋体" w:hAnsi="宋体" w:eastAsia="宋体" w:cs="Times New Roman"/>
        </w:rPr>
        <w:t>电力监控</w:t>
      </w:r>
      <w:r>
        <w:rPr>
          <w:color w:val="auto"/>
          <w:sz w:val="24"/>
          <w:szCs w:val="24"/>
          <w:rFonts w:ascii="宋体" w:hAnsi="宋体" w:eastAsia="宋体" w:cs="Times New Roman" w:hint="eastAsia"/>
        </w:rPr>
        <w:t>后台</w:t>
      </w:r>
      <w:r>
        <w:rPr>
          <w:color w:val="auto"/>
          <w:sz w:val="24"/>
          <w:szCs w:val="24"/>
          <w:rFonts w:ascii="宋体" w:hAnsi="宋体" w:eastAsia="宋体" w:cs="Times New Roman"/>
        </w:rPr>
        <w:t>的通信功能</w:t>
      </w:r>
      <w:r>
        <w:rPr>
          <w:color w:val="auto"/>
          <w:sz w:val="24"/>
          <w:szCs w:val="24"/>
          <w:rFonts w:ascii="宋体" w:hAnsi="宋体" w:eastAsia="宋体" w:cs="Times New Roman" w:hint="eastAsia"/>
        </w:rPr>
        <w:t>。</w:t>
      </w:r>
      <w:r>
        <w:rPr>
          <w:color w:val="auto"/>
          <w:sz w:val="24"/>
          <w:szCs w:val="24"/>
          <w:rFonts w:ascii="宋体" w:hAnsi="宋体" w:eastAsia="宋体" w:cs="Times New Roman"/>
        </w:rPr>
        <w:t>一旦发生</w:t>
      </w:r>
      <w:r>
        <w:rPr>
          <w:color w:val="auto"/>
          <w:sz w:val="24"/>
          <w:szCs w:val="24"/>
          <w:rFonts w:ascii="宋体" w:hAnsi="宋体" w:eastAsia="宋体" w:cs="Times New Roman" w:hint="eastAsia"/>
        </w:rPr>
        <w:t>跳闸等</w:t>
      </w:r>
      <w:r>
        <w:rPr>
          <w:color w:val="auto"/>
          <w:sz w:val="24"/>
          <w:szCs w:val="24"/>
          <w:rFonts w:ascii="宋体" w:hAnsi="宋体" w:eastAsia="宋体" w:cs="Times New Roman"/>
        </w:rPr>
        <w:t>故障，运维人员无法及时</w:t>
      </w:r>
      <w:r>
        <w:rPr>
          <w:color w:val="auto"/>
          <w:sz w:val="24"/>
          <w:szCs w:val="24"/>
          <w:rFonts w:ascii="宋体" w:hAnsi="宋体" w:eastAsia="宋体" w:cs="Times New Roman" w:hint="eastAsia"/>
        </w:rPr>
        <w:t>定位</w:t>
      </w:r>
      <w:r>
        <w:rPr>
          <w:color w:val="auto"/>
          <w:sz w:val="24"/>
          <w:szCs w:val="24"/>
          <w:rFonts w:ascii="宋体" w:hAnsi="宋体" w:eastAsia="宋体" w:cs="Times New Roman"/>
        </w:rPr>
        <w:t>故障点</w:t>
      </w:r>
      <w:r>
        <w:rPr>
          <w:color w:val="auto"/>
          <w:sz w:val="24"/>
          <w:szCs w:val="24"/>
          <w:rFonts w:ascii="宋体" w:hAnsi="宋体" w:eastAsia="宋体" w:cs="Times New Roman" w:hint="eastAsia"/>
        </w:rPr>
        <w:t>并采取相应</w:t>
      </w:r>
      <w:r>
        <w:rPr>
          <w:color w:val="auto"/>
          <w:sz w:val="24"/>
          <w:szCs w:val="24"/>
          <w:rFonts w:ascii="宋体" w:hAnsi="宋体" w:eastAsia="宋体" w:cs="Times New Roman"/>
        </w:rPr>
        <w:t>的措施</w:t>
      </w:r>
      <w:r>
        <w:rPr>
          <w:color w:val="auto"/>
          <w:sz w:val="24"/>
          <w:szCs w:val="24"/>
          <w:rFonts w:ascii="宋体" w:hAnsi="宋体" w:eastAsia="宋体" w:cs="Times New Roman" w:hint="eastAsia"/>
        </w:rPr>
        <w:t>处理</w:t>
      </w:r>
      <w:r>
        <w:rPr>
          <w:color w:val="auto"/>
          <w:sz w:val="24"/>
          <w:szCs w:val="24"/>
          <w:rFonts w:ascii="宋体" w:hAnsi="宋体" w:eastAsia="宋体" w:cs="Times New Roman"/>
        </w:rPr>
        <w:t>，延长故障停电时间，扩大停电风险</w:t>
      </w:r>
      <w:r>
        <w:rPr>
          <w:color w:val="auto"/>
          <w:sz w:val="24"/>
          <w:szCs w:val="24"/>
          <w:rFonts w:ascii="宋体" w:hAnsi="宋体" w:eastAsia="宋体" w:cs="Times New Roman" w:hint="eastAsia"/>
        </w:rPr>
        <w:t>。</w:t>
      </w:r>
    </w:p>
    <w:p w14:paraId="4BB1E351">
      <w:pPr>
        <w:spacing w:line="360" w:lineRule="auto"/>
        <w:rPr>
          <w:color w:val="auto"/>
          <w:sz w:val="24"/>
          <w:szCs w:val="24"/>
          <w:rFonts w:ascii="宋体" w:hAnsi="宋体" w:eastAsia="宋体" w:cs="Times New Roman" w:hint="eastAsia"/>
        </w:rPr>
      </w:pPr>
      <w:r>
        <w:rPr>
          <w:color w:val="auto"/>
          <w:sz w:val="24"/>
          <w:szCs w:val="24"/>
          <w:rFonts w:ascii="宋体" w:hAnsi="宋体" w:eastAsia="宋体" w:cs="Times New Roman" w:hint="eastAsia"/>
        </w:rPr>
        <w:t>（4）配电箱</w:t>
      </w:r>
      <w:r>
        <w:rPr>
          <w:color w:val="auto"/>
          <w:sz w:val="24"/>
          <w:szCs w:val="24"/>
          <w:rFonts w:ascii="宋体" w:hAnsi="宋体" w:eastAsia="宋体" w:cs="Times New Roman"/>
        </w:rPr>
        <w:t>内</w:t>
      </w:r>
      <w:r>
        <w:rPr>
          <w:color w:val="auto"/>
          <w:sz w:val="24"/>
          <w:szCs w:val="24"/>
          <w:rFonts w:ascii="宋体" w:hAnsi="宋体" w:eastAsia="宋体" w:cs="Times New Roman" w:hint="eastAsia"/>
        </w:rPr>
        <w:t>未安装</w:t>
      </w:r>
      <w:r>
        <w:rPr>
          <w:color w:val="auto"/>
          <w:sz w:val="24"/>
          <w:szCs w:val="24"/>
          <w:rFonts w:ascii="宋体" w:hAnsi="宋体" w:eastAsia="宋体" w:cs="Times New Roman"/>
        </w:rPr>
        <w:t>漏电保护</w:t>
      </w:r>
      <w:r>
        <w:rPr>
          <w:color w:val="auto"/>
          <w:sz w:val="24"/>
          <w:szCs w:val="24"/>
          <w:rFonts w:ascii="宋体" w:hAnsi="宋体" w:eastAsia="宋体" w:cs="Times New Roman" w:hint="eastAsia"/>
        </w:rPr>
        <w:t>装置。</w:t>
      </w:r>
      <w:r>
        <w:rPr>
          <w:color w:val="auto"/>
          <w:sz w:val="24"/>
          <w:szCs w:val="24"/>
          <w:rFonts w:ascii="宋体" w:hAnsi="宋体" w:eastAsia="宋体" w:cs="Times New Roman"/>
        </w:rPr>
        <w:t>院区建筑整体比较老旧，破损的电线可能隐藏在墙内或者</w:t>
      </w:r>
      <w:r>
        <w:rPr>
          <w:color w:val="auto"/>
          <w:sz w:val="24"/>
          <w:szCs w:val="24"/>
          <w:rFonts w:ascii="宋体" w:hAnsi="宋体" w:eastAsia="宋体" w:cs="Times New Roman" w:hint="eastAsia"/>
        </w:rPr>
        <w:t>比较</w:t>
      </w:r>
      <w:r>
        <w:rPr>
          <w:color w:val="auto"/>
          <w:sz w:val="24"/>
          <w:szCs w:val="24"/>
          <w:rFonts w:ascii="宋体" w:hAnsi="宋体" w:eastAsia="宋体" w:cs="Times New Roman"/>
        </w:rPr>
        <w:t>隐蔽</w:t>
      </w:r>
      <w:r>
        <w:rPr>
          <w:color w:val="auto"/>
          <w:sz w:val="24"/>
          <w:szCs w:val="24"/>
          <w:rFonts w:ascii="宋体" w:hAnsi="宋体" w:eastAsia="宋体" w:cs="Times New Roman" w:hint="eastAsia"/>
        </w:rPr>
        <w:t>的</w:t>
      </w:r>
      <w:r>
        <w:rPr>
          <w:color w:val="auto"/>
          <w:sz w:val="24"/>
          <w:szCs w:val="24"/>
          <w:rFonts w:ascii="宋体" w:hAnsi="宋体" w:eastAsia="宋体" w:cs="Times New Roman"/>
        </w:rPr>
        <w:t>地方，</w:t>
      </w:r>
      <w:r>
        <w:rPr>
          <w:color w:val="auto"/>
          <w:sz w:val="24"/>
          <w:szCs w:val="24"/>
          <w:rFonts w:ascii="宋体" w:hAnsi="宋体" w:eastAsia="宋体" w:cs="Times New Roman" w:hint="eastAsia"/>
        </w:rPr>
        <w:t>一旦发生</w:t>
      </w:r>
      <w:r>
        <w:rPr>
          <w:color w:val="auto"/>
          <w:sz w:val="24"/>
          <w:szCs w:val="24"/>
          <w:rFonts w:ascii="宋体" w:hAnsi="宋体" w:eastAsia="宋体" w:cs="Times New Roman"/>
        </w:rPr>
        <w:t>线路漏电、设备绝缘</w:t>
      </w:r>
      <w:r>
        <w:rPr>
          <w:color w:val="auto"/>
          <w:sz w:val="24"/>
          <w:szCs w:val="24"/>
          <w:rFonts w:ascii="宋体" w:hAnsi="宋体" w:eastAsia="宋体" w:cs="Times New Roman" w:hint="eastAsia"/>
        </w:rPr>
        <w:t>破损</w:t>
      </w:r>
      <w:r>
        <w:rPr>
          <w:color w:val="auto"/>
          <w:sz w:val="24"/>
          <w:szCs w:val="24"/>
          <w:rFonts w:ascii="宋体" w:hAnsi="宋体" w:eastAsia="宋体" w:cs="Times New Roman"/>
        </w:rPr>
        <w:t>等</w:t>
      </w:r>
      <w:r>
        <w:rPr>
          <w:color w:val="auto"/>
          <w:sz w:val="24"/>
          <w:szCs w:val="24"/>
          <w:rFonts w:ascii="宋体" w:hAnsi="宋体" w:eastAsia="宋体" w:cs="Times New Roman" w:hint="eastAsia"/>
        </w:rPr>
        <w:t>异常</w:t>
      </w:r>
      <w:r>
        <w:rPr>
          <w:color w:val="auto"/>
          <w:sz w:val="24"/>
          <w:szCs w:val="24"/>
          <w:rFonts w:ascii="宋体" w:hAnsi="宋体" w:eastAsia="宋体" w:cs="Times New Roman"/>
        </w:rPr>
        <w:t>引起的停电</w:t>
      </w:r>
      <w:r>
        <w:rPr>
          <w:color w:val="auto"/>
          <w:sz w:val="24"/>
          <w:szCs w:val="24"/>
          <w:rFonts w:ascii="宋体" w:hAnsi="宋体" w:eastAsia="宋体" w:cs="Times New Roman" w:hint="eastAsia"/>
        </w:rPr>
        <w:t>时</w:t>
      </w:r>
      <w:r>
        <w:rPr>
          <w:color w:val="auto"/>
          <w:sz w:val="24"/>
          <w:szCs w:val="24"/>
          <w:rFonts w:ascii="宋体" w:hAnsi="宋体" w:eastAsia="宋体" w:cs="Times New Roman"/>
        </w:rPr>
        <w:t>，无法快速切断故障回路，</w:t>
      </w:r>
      <w:r>
        <w:rPr>
          <w:color w:val="auto"/>
          <w:sz w:val="24"/>
          <w:szCs w:val="24"/>
          <w:rFonts w:ascii="宋体" w:hAnsi="宋体" w:eastAsia="宋体" w:cs="Times New Roman" w:hint="eastAsia"/>
        </w:rPr>
        <w:t>极</w:t>
      </w:r>
      <w:r>
        <w:rPr>
          <w:color w:val="auto"/>
          <w:sz w:val="24"/>
          <w:szCs w:val="24"/>
          <w:rFonts w:ascii="宋体" w:hAnsi="宋体" w:eastAsia="宋体" w:cs="Times New Roman"/>
        </w:rPr>
        <w:t>易引起人员触电、电</w:t>
      </w:r>
      <w:r>
        <w:rPr>
          <w:color w:val="auto"/>
          <w:sz w:val="24"/>
          <w:szCs w:val="24"/>
          <w:rFonts w:ascii="宋体" w:hAnsi="宋体" w:eastAsia="宋体" w:cs="Times New Roman" w:hint="eastAsia"/>
        </w:rPr>
        <w:t>气</w:t>
      </w:r>
      <w:r>
        <w:rPr>
          <w:color w:val="auto"/>
          <w:sz w:val="24"/>
          <w:szCs w:val="24"/>
          <w:rFonts w:ascii="宋体" w:hAnsi="宋体" w:eastAsia="宋体" w:cs="Times New Roman"/>
        </w:rPr>
        <w:t>起火事故</w:t>
      </w:r>
      <w:r>
        <w:rPr>
          <w:color w:val="auto"/>
          <w:sz w:val="24"/>
          <w:szCs w:val="24"/>
          <w:rFonts w:ascii="宋体" w:hAnsi="宋体" w:eastAsia="宋体" w:cs="Times New Roman" w:hint="eastAsia"/>
        </w:rPr>
        <w:t>，</w:t>
      </w:r>
      <w:r>
        <w:rPr>
          <w:color w:val="auto"/>
          <w:sz w:val="24"/>
          <w:szCs w:val="24"/>
          <w:rFonts w:ascii="宋体" w:hAnsi="宋体" w:eastAsia="宋体" w:cs="Times New Roman"/>
        </w:rPr>
        <w:t>存在</w:t>
      </w:r>
      <w:r>
        <w:rPr>
          <w:color w:val="auto"/>
          <w:sz w:val="24"/>
          <w:szCs w:val="24"/>
          <w:rFonts w:ascii="宋体" w:hAnsi="宋体" w:eastAsia="宋体" w:cs="Times New Roman" w:hint="eastAsia"/>
        </w:rPr>
        <w:t>人身</w:t>
      </w:r>
      <w:r>
        <w:rPr>
          <w:color w:val="auto"/>
          <w:sz w:val="24"/>
          <w:szCs w:val="24"/>
          <w:rFonts w:ascii="宋体" w:hAnsi="宋体" w:eastAsia="宋体" w:cs="Times New Roman"/>
        </w:rPr>
        <w:t>及用电安全隐患。</w:t>
      </w:r>
    </w:p>
    <w:p w14:paraId="3145BE10">
      <w:pPr>
        <w:jc w:val="left"/>
        <w:spacing w:line="360" w:lineRule="auto"/>
        <w:rPr>
          <w:color w:val="auto"/>
          <w:sz w:val="24"/>
          <w:szCs w:val="24"/>
          <w:rFonts w:ascii="宋体" w:hAnsi="宋体" w:eastAsia="宋体" w:cs="Times New Roman" w:hint="eastAsia"/>
        </w:rPr>
      </w:pPr>
      <w:r>
        <w:rPr>
          <w:color w:val="auto"/>
          <w:sz w:val="24"/>
          <w:szCs w:val="24"/>
          <w:rFonts w:ascii="宋体" w:hAnsi="宋体" w:eastAsia="宋体" w:cs="Times New Roman" w:hint="eastAsia"/>
        </w:rPr>
        <w:t>（5）配电房内</w:t>
      </w:r>
      <w:r>
        <w:rPr>
          <w:color w:val="auto"/>
          <w:sz w:val="24"/>
          <w:szCs w:val="24"/>
          <w:rFonts w:ascii="宋体" w:hAnsi="宋体" w:eastAsia="宋体" w:cs="Times New Roman"/>
        </w:rPr>
        <w:t>未配置相关的火灾报警、</w:t>
      </w:r>
      <w:r>
        <w:rPr>
          <w:color w:val="auto"/>
          <w:sz w:val="24"/>
          <w:szCs w:val="24"/>
          <w:rFonts w:ascii="宋体" w:hAnsi="宋体" w:eastAsia="宋体" w:cs="Times New Roman" w:hint="eastAsia"/>
        </w:rPr>
        <w:t>进水监测、驱鼠</w:t>
      </w:r>
      <w:r>
        <w:rPr>
          <w:color w:val="auto"/>
          <w:sz w:val="24"/>
          <w:szCs w:val="24"/>
          <w:rFonts w:ascii="宋体" w:hAnsi="宋体" w:eastAsia="宋体" w:cs="Times New Roman"/>
        </w:rPr>
        <w:t>装置等</w:t>
      </w:r>
      <w:r>
        <w:rPr>
          <w:color w:val="auto"/>
          <w:sz w:val="24"/>
          <w:szCs w:val="24"/>
          <w:rFonts w:ascii="宋体" w:hAnsi="宋体" w:eastAsia="宋体" w:cs="Times New Roman" w:hint="eastAsia"/>
        </w:rPr>
        <w:t>环境</w:t>
      </w:r>
      <w:r>
        <w:rPr>
          <w:color w:val="auto"/>
          <w:sz w:val="24"/>
          <w:szCs w:val="24"/>
          <w:rFonts w:ascii="宋体" w:hAnsi="宋体" w:eastAsia="宋体" w:cs="Times New Roman"/>
        </w:rPr>
        <w:t>监测</w:t>
      </w:r>
      <w:r>
        <w:rPr>
          <w:color w:val="auto"/>
          <w:sz w:val="24"/>
          <w:szCs w:val="24"/>
          <w:rFonts w:ascii="宋体" w:hAnsi="宋体" w:eastAsia="宋体" w:cs="Times New Roman" w:hint="eastAsia"/>
        </w:rPr>
        <w:t>设备，如果发生进水、小动物入侵等事情，一旦配电房发生异常，这些信息不能被及时发现，存在重大用电安全隐患。</w:t>
      </w:r>
    </w:p>
    <w:p w14:paraId="5B9938EA">
      <w:pPr>
        <w:jc w:val="left"/>
        <w:spacing w:line="360" w:lineRule="auto"/>
        <w:rPr>
          <w:color w:val="auto"/>
          <w:sz w:val="24"/>
          <w:szCs w:val="24"/>
          <w:rFonts w:ascii="宋体" w:hAnsi="宋体" w:eastAsia="宋体" w:cs="Times New Roman" w:hint="eastAsia"/>
        </w:rPr>
      </w:pPr>
      <w:r>
        <w:rPr>
          <w:color w:val="auto"/>
          <w:sz w:val="24"/>
          <w:szCs w:val="24"/>
          <w:rFonts w:ascii="宋体" w:hAnsi="宋体" w:eastAsia="宋体" w:cs="Times New Roman" w:hint="eastAsia"/>
        </w:rPr>
        <w:t>（6）配电房内配电设备的日常巡检、故障记录和检修维护等没有建立清晰的、完整的电子档案，不能随时提供查询，导致设备</w:t>
      </w:r>
      <w:r>
        <w:rPr>
          <w:color w:val="auto"/>
          <w:sz w:val="24"/>
          <w:szCs w:val="24"/>
          <w:rFonts w:ascii="宋体" w:hAnsi="宋体" w:eastAsia="宋体" w:cs="Times New Roman"/>
        </w:rPr>
        <w:t>履历追溯困难，检修缺乏依据</w:t>
      </w:r>
      <w:r>
        <w:rPr>
          <w:color w:val="auto"/>
          <w:sz w:val="24"/>
          <w:szCs w:val="24"/>
          <w:rFonts w:ascii="宋体" w:hAnsi="宋体" w:eastAsia="宋体" w:cs="Times New Roman" w:hint="eastAsia"/>
        </w:rPr>
        <w:t>。</w:t>
      </w:r>
    </w:p>
    <w:p w14:paraId="767FE290">
      <w:pPr>
        <w:jc w:val="left"/>
        <w:spacing w:line="360" w:lineRule="auto"/>
        <w:rPr>
          <w:color w:val="auto"/>
          <w:sz w:val="24"/>
          <w:szCs w:val="24"/>
          <w:rFonts w:ascii="宋体" w:hAnsi="宋体" w:eastAsia="宋体" w:cs="Times New Roman" w:hint="eastAsia"/>
        </w:rPr>
      </w:pPr>
      <w:r>
        <w:rPr>
          <w:color w:val="auto"/>
          <w:sz w:val="24"/>
          <w:szCs w:val="24"/>
          <w:rFonts w:ascii="宋体" w:hAnsi="宋体" w:eastAsia="宋体" w:cs="Times New Roman" w:hint="eastAsia"/>
        </w:rPr>
        <w:t>（7）变电站</w:t>
      </w:r>
      <w:r>
        <w:rPr>
          <w:color w:val="auto"/>
          <w:sz w:val="24"/>
          <w:szCs w:val="24"/>
          <w:rFonts w:ascii="宋体" w:hAnsi="宋体" w:eastAsia="宋体" w:cs="Times New Roman"/>
        </w:rPr>
        <w:t>未配置</w:t>
      </w:r>
      <w:r>
        <w:rPr>
          <w:color w:val="auto"/>
          <w:sz w:val="24"/>
          <w:szCs w:val="24"/>
          <w:rFonts w:ascii="宋体" w:hAnsi="宋体" w:eastAsia="宋体" w:cs="Times New Roman" w:hint="eastAsia"/>
        </w:rPr>
        <w:t>任何</w:t>
      </w:r>
      <w:r>
        <w:rPr>
          <w:color w:val="auto"/>
          <w:sz w:val="24"/>
          <w:szCs w:val="24"/>
          <w:rFonts w:ascii="宋体" w:hAnsi="宋体" w:eastAsia="宋体" w:cs="Times New Roman"/>
        </w:rPr>
        <w:t>的</w:t>
      </w:r>
      <w:r>
        <w:rPr>
          <w:color w:val="auto"/>
          <w:sz w:val="24"/>
          <w:szCs w:val="24"/>
          <w:rFonts w:ascii="宋体" w:hAnsi="宋体" w:eastAsia="宋体" w:cs="Times New Roman" w:hint="eastAsia"/>
        </w:rPr>
        <w:t>电力</w:t>
      </w:r>
      <w:r>
        <w:rPr>
          <w:color w:val="auto"/>
          <w:sz w:val="24"/>
          <w:szCs w:val="24"/>
          <w:rFonts w:ascii="宋体" w:hAnsi="宋体" w:eastAsia="宋体" w:cs="Times New Roman"/>
        </w:rPr>
        <w:t>监控系统</w:t>
      </w:r>
      <w:r>
        <w:rPr>
          <w:color w:val="auto"/>
          <w:sz w:val="24"/>
          <w:szCs w:val="24"/>
          <w:rFonts w:ascii="宋体" w:hAnsi="宋体" w:eastAsia="宋体" w:cs="Times New Roman" w:hint="eastAsia"/>
        </w:rPr>
        <w:t>，站内电力数据不能实时地、集中统一管理，导致</w:t>
      </w:r>
      <w:r>
        <w:rPr>
          <w:color w:val="auto"/>
          <w:sz w:val="24"/>
          <w:szCs w:val="24"/>
          <w:rFonts w:ascii="宋体" w:hAnsi="宋体" w:eastAsia="宋体" w:cs="Times New Roman"/>
        </w:rPr>
        <w:t>人工巡检</w:t>
      </w:r>
      <w:r>
        <w:rPr>
          <w:color w:val="auto"/>
          <w:sz w:val="24"/>
          <w:szCs w:val="24"/>
          <w:rFonts w:ascii="宋体" w:hAnsi="宋体" w:eastAsia="宋体" w:cs="Times New Roman" w:hint="eastAsia"/>
        </w:rPr>
        <w:t>无法</w:t>
      </w:r>
      <w:r>
        <w:rPr>
          <w:color w:val="auto"/>
          <w:sz w:val="24"/>
          <w:szCs w:val="24"/>
          <w:rFonts w:ascii="宋体" w:hAnsi="宋体" w:eastAsia="宋体" w:cs="Times New Roman"/>
        </w:rPr>
        <w:t>及时发现漏电、</w:t>
      </w:r>
      <w:r>
        <w:rPr>
          <w:color w:val="auto"/>
          <w:sz w:val="24"/>
          <w:szCs w:val="24"/>
          <w:rFonts w:ascii="宋体" w:hAnsi="宋体" w:eastAsia="宋体" w:cs="Times New Roman" w:hint="eastAsia"/>
        </w:rPr>
        <w:t>短路</w:t>
      </w:r>
      <w:r>
        <w:rPr>
          <w:color w:val="auto"/>
          <w:sz w:val="24"/>
          <w:szCs w:val="24"/>
          <w:rFonts w:ascii="宋体" w:hAnsi="宋体" w:eastAsia="宋体" w:cs="Times New Roman"/>
        </w:rPr>
        <w:t>、超温、过载</w:t>
      </w:r>
      <w:r>
        <w:rPr>
          <w:color w:val="auto"/>
          <w:sz w:val="24"/>
          <w:szCs w:val="24"/>
          <w:rFonts w:ascii="宋体" w:hAnsi="宋体" w:eastAsia="宋体" w:cs="Times New Roman" w:hint="eastAsia"/>
        </w:rPr>
        <w:t>等事故</w:t>
      </w:r>
      <w:r>
        <w:rPr>
          <w:color w:val="auto"/>
          <w:sz w:val="24"/>
          <w:szCs w:val="24"/>
          <w:rFonts w:ascii="宋体" w:hAnsi="宋体" w:eastAsia="宋体" w:cs="Times New Roman"/>
        </w:rPr>
        <w:t>隐患</w:t>
      </w:r>
      <w:r>
        <w:rPr>
          <w:color w:val="auto"/>
          <w:sz w:val="24"/>
          <w:szCs w:val="24"/>
          <w:rFonts w:ascii="宋体" w:hAnsi="宋体" w:eastAsia="宋体" w:cs="Times New Roman" w:hint="eastAsia"/>
        </w:rPr>
        <w:t>，</w:t>
      </w:r>
      <w:r>
        <w:rPr>
          <w:color w:val="auto"/>
          <w:sz w:val="24"/>
          <w:szCs w:val="24"/>
          <w:rFonts w:ascii="Times New Roman" w:hAnsi="Times New Roman" w:eastAsia="宋体" w:cs="Times New Roman" w:hint="eastAsia"/>
        </w:rPr>
        <w:t>虽然</w:t>
      </w:r>
      <w:r>
        <w:rPr>
          <w:color w:val="auto"/>
          <w:sz w:val="24"/>
          <w:szCs w:val="24"/>
          <w:rFonts w:ascii="宋体" w:hAnsi="宋体" w:eastAsia="宋体" w:cs="Times New Roman" w:hint="eastAsia"/>
        </w:rPr>
        <w:t>巡检人员工作量巨大，但</w:t>
      </w:r>
      <w:r>
        <w:rPr>
          <w:color w:val="auto"/>
          <w:sz w:val="24"/>
          <w:szCs w:val="24"/>
          <w:rFonts w:ascii="宋体" w:hAnsi="宋体" w:eastAsia="宋体" w:cs="Times New Roman"/>
        </w:rPr>
        <w:t>是</w:t>
      </w:r>
      <w:r>
        <w:rPr>
          <w:color w:val="auto"/>
          <w:sz w:val="24"/>
          <w:szCs w:val="24"/>
          <w:rFonts w:ascii="宋体" w:hAnsi="宋体" w:eastAsia="宋体" w:cs="Times New Roman" w:hint="eastAsia"/>
        </w:rPr>
        <w:t>工作效率却很低。</w:t>
      </w:r>
    </w:p>
    <w:p w14:paraId="452A2CE2">
      <w:pPr>
        <w:jc w:val="left"/>
        <w:spacing w:line="360" w:lineRule="auto"/>
        <w:ind w:firstLine="480"/>
        <w:rPr>
          <w:color w:val="auto"/>
          <w:sz w:val="24"/>
          <w:szCs w:val="24"/>
          <w:rFonts w:ascii="宋体" w:hAnsi="宋体" w:eastAsia="宋体" w:cs="Times New Roman" w:hint="eastAsia"/>
        </w:rPr>
      </w:pPr>
      <w:r>
        <w:rPr>
          <w:color w:val="auto"/>
          <w:sz w:val="24"/>
          <w:szCs w:val="24"/>
          <w:rFonts w:ascii="宋体" w:hAnsi="宋体" w:eastAsia="宋体" w:cs="Times New Roman" w:hint="eastAsia"/>
        </w:rPr>
        <w:t>以上情况导致医院配电系统长期处于</w:t>
      </w:r>
      <w:r>
        <w:rPr>
          <w:color w:val="auto"/>
          <w:sz w:val="24"/>
          <w:szCs w:val="24"/>
          <w:rFonts w:ascii="宋体" w:hAnsi="宋体" w:eastAsia="宋体" w:cs="Times New Roman" w:hint="eastAsia"/>
        </w:rPr>
        <w:t>监管不到位</w:t>
      </w:r>
      <w:r>
        <w:rPr>
          <w:color w:val="auto"/>
          <w:sz w:val="24"/>
          <w:szCs w:val="24"/>
          <w:rFonts w:ascii="宋体" w:hAnsi="宋体" w:eastAsia="宋体" w:cs="Times New Roman" w:hint="eastAsia"/>
        </w:rPr>
        <w:t>状况，无法确保医院电力设备的安全运行和人员人身安全，同时电力设备运行环境也长期处在监管盲区，使得整个用电系统的运行存在巨大安全隐患。</w:t>
      </w:r>
    </w:p>
    <w:p w14:paraId="12D5EF9A">
      <w:pPr>
        <w:jc w:val="left"/>
        <w:outlineLvl w:val="0"/>
        <w:spacing w:after="120" w:before="120" w:line="360" w:lineRule="auto"/>
        <w:rPr>
          <w:b w:val="1"/>
          <w:color w:val="auto"/>
          <w:sz w:val="30"/>
          <w:bCs/>
          <w:szCs w:val="30"/>
          <w:rFonts w:ascii="宋体" w:hAnsi="宋体" w:eastAsia="宋体"/>
        </w:rPr>
      </w:pPr>
      <w:bookmarkStart w:id="13" w:name="_Toc51141106"/>
      <w:bookmarkStart w:id="14" w:name="_Toc71640034"/>
      <w:bookmarkStart w:id="15" w:name="_Toc244176384"/>
      <w:bookmarkStart w:id="16" w:name="_Toc244176115"/>
      <w:r>
        <w:rPr>
          <w:b w:val="1"/>
          <w:color w:val="auto"/>
          <w:sz w:val="30"/>
          <w:bCs/>
          <w:szCs w:val="30"/>
          <w:rFonts w:ascii="宋体" w:hAnsi="宋体" w:eastAsia="宋体" w:hint="eastAsia"/>
        </w:rPr>
        <w:t>三、</w:t>
      </w:r>
      <w:bookmarkEnd w:id="13"/>
      <w:r>
        <w:rPr>
          <w:b w:val="1"/>
          <w:color w:val="auto"/>
          <w:sz w:val="30"/>
          <w:bCs/>
          <w:szCs w:val="30"/>
          <w:rFonts w:ascii="宋体" w:hAnsi="宋体" w:eastAsia="宋体" w:hint="eastAsia"/>
        </w:rPr>
        <w:t>总体</w:t>
      </w:r>
      <w:r>
        <w:rPr>
          <w:b w:val="1"/>
          <w:color w:val="auto"/>
          <w:sz w:val="30"/>
          <w:bCs/>
          <w:szCs w:val="30"/>
          <w:rFonts w:ascii="宋体" w:hAnsi="宋体" w:eastAsia="宋体"/>
        </w:rPr>
        <w:t>设计方案</w:t>
      </w:r>
      <w:bookmarkEnd w:id="14"/>
      <w:bookmarkEnd w:id="15"/>
      <w:bookmarkEnd w:id="16"/>
    </w:p>
    <w:p w14:paraId="3455A6A3">
      <w:pPr>
        <w:jc w:val="left"/>
        <w:outlineLvl w:val="1"/>
        <w:spacing w:after="120" w:before="120" w:line="360" w:lineRule="auto"/>
        <w:rPr>
          <w:b w:val="1"/>
          <w:color w:val="auto"/>
          <w:sz w:val="28"/>
          <w:bCs/>
          <w:szCs w:val="28"/>
          <w:rFonts w:ascii="宋体" w:hAnsi="宋体" w:eastAsia="宋体"/>
        </w:rPr>
      </w:pPr>
      <w:bookmarkStart w:id="17" w:name="_Toc51141107"/>
      <w:bookmarkStart w:id="18" w:name="_Toc71640035"/>
      <w:bookmarkStart w:id="19" w:name="_Toc244176116"/>
      <w:bookmarkStart w:id="20" w:name="_Toc244176385"/>
      <w:r>
        <w:rPr>
          <w:b w:val="1"/>
          <w:color w:val="auto"/>
          <w:sz w:val="28"/>
          <w:bCs/>
          <w:szCs w:val="28"/>
          <w:rFonts w:ascii="宋体" w:hAnsi="宋体" w:eastAsia="宋体" w:hint="eastAsia"/>
        </w:rPr>
        <w:t xml:space="preserve">3.1 </w:t>
      </w:r>
      <w:bookmarkEnd w:id="17"/>
      <w:bookmarkStart w:id="21" w:name="_Toc46160706"/>
      <w:bookmarkStart w:id="22" w:name="_Toc51141108"/>
      <w:r>
        <w:rPr>
          <w:b w:val="1"/>
          <w:color w:val="auto"/>
          <w:sz w:val="28"/>
          <w:bCs/>
          <w:szCs w:val="28"/>
          <w:rFonts w:ascii="宋体" w:hAnsi="宋体" w:eastAsia="宋体" w:hint="eastAsia"/>
        </w:rPr>
        <w:t>设计</w:t>
      </w:r>
      <w:bookmarkEnd w:id="18"/>
      <w:bookmarkEnd w:id="21"/>
      <w:bookmarkEnd w:id="22"/>
      <w:r>
        <w:rPr>
          <w:b w:val="1"/>
          <w:color w:val="auto"/>
          <w:sz w:val="28"/>
          <w:bCs/>
          <w:szCs w:val="28"/>
          <w:rFonts w:ascii="宋体" w:hAnsi="宋体" w:eastAsia="宋体" w:hint="eastAsia"/>
        </w:rPr>
        <w:t>原则</w:t>
      </w:r>
      <w:bookmarkEnd w:id="19"/>
      <w:bookmarkEnd w:id="20"/>
    </w:p>
    <w:p w14:paraId="0911FF89">
      <w:pPr>
        <w:widowControl w:val="1"/>
        <w:adjustRightInd w:val="0"/>
        <w:snapToGrid w:val="0"/>
        <w:spacing w:line="360" w:lineRule="auto"/>
        <w:ind w:firstLine="480" w:firstLineChars="200"/>
        <w:rPr>
          <w:color w:val="auto"/>
          <w:sz w:val="24"/>
          <w:szCs w:val="24"/>
          <w:rFonts w:ascii="宋体" w:hAnsi="宋体" w:eastAsia="宋体" w:hint="eastAsia"/>
        </w:rPr>
      </w:pPr>
      <w:r>
        <w:rPr>
          <w:color w:val="auto"/>
          <w:sz w:val="24"/>
          <w:szCs w:val="24"/>
          <w:rFonts w:ascii="宋体" w:hAnsi="宋体" w:eastAsia="宋体" w:hint="eastAsia"/>
        </w:rPr>
        <w:t>根据国内无人值守变电站的发展趋势和变电站巡检制度，结合变电站综合自动化及辅助监控系统的实践经验，</w:t>
      </w:r>
      <w:r>
        <w:rPr>
          <w:color w:val="auto"/>
          <w:sz w:val="24"/>
          <w:lang w:val="en-US" w:eastAsia="zh-CN"/>
          <w:szCs w:val="24"/>
          <w:rFonts w:ascii="宋体" w:hAnsi="宋体" w:eastAsia="宋体" w:hint="eastAsia"/>
        </w:rPr>
        <w:t>本次招标的</w:t>
      </w:r>
      <w:r>
        <w:rPr>
          <w:color w:val="auto"/>
          <w:sz w:val="24"/>
          <w:szCs w:val="24"/>
          <w:rFonts w:ascii="宋体" w:hAnsi="宋体" w:eastAsia="宋体" w:hint="eastAsia"/>
        </w:rPr>
        <w:t>系统</w:t>
      </w:r>
      <w:r>
        <w:rPr>
          <w:color w:val="auto"/>
          <w:sz w:val="24"/>
          <w:lang w:val="en-US" w:eastAsia="zh-CN"/>
          <w:szCs w:val="24"/>
          <w:rFonts w:ascii="宋体" w:hAnsi="宋体" w:eastAsia="宋体" w:hint="eastAsia"/>
        </w:rPr>
        <w:t>在</w:t>
      </w:r>
      <w:r>
        <w:rPr>
          <w:color w:val="auto"/>
          <w:sz w:val="24"/>
          <w:szCs w:val="24"/>
          <w:rFonts w:ascii="宋体" w:hAnsi="宋体" w:eastAsia="宋体" w:hint="eastAsia"/>
        </w:rPr>
        <w:t>进行方案设计时遵循“技术先进，实用可靠，扩展性好，有利管理，投资合理”的原则。</w:t>
      </w:r>
    </w:p>
    <w:p w14:paraId="2975F3DA">
      <w:pPr>
        <w:widowControl w:val="1"/>
        <w:numPr>
          <w:ilvl w:val="0"/>
          <w:numId w:val="4"/>
        </w:numPr>
        <w:spacing w:line="360" w:lineRule="auto"/>
        <w:rPr>
          <w:b w:val="1"/>
          <w:color w:val="auto"/>
          <w:sz w:val="24"/>
          <w:bCs/>
          <w:szCs w:val="24"/>
          <w:rFonts w:ascii="宋体" w:hAnsi="宋体" w:eastAsia="宋体" w:hint="eastAsia"/>
        </w:rPr>
      </w:pPr>
      <w:r>
        <w:rPr>
          <w:b w:val="1"/>
          <w:color w:val="auto"/>
          <w:sz w:val="24"/>
          <w:bCs/>
          <w:szCs w:val="24"/>
          <w:rFonts w:ascii="宋体" w:hAnsi="宋体" w:eastAsia="宋体" w:hint="eastAsia"/>
        </w:rPr>
        <w:t>标准性</w:t>
      </w:r>
    </w:p>
    <w:p w14:paraId="2D18B0C3">
      <w:pPr>
        <w:pStyle w:val="18"/>
        <w:widowControl w:val="1"/>
        <w:adjustRightInd w:val="0"/>
        <w:snapToGrid w:val="0"/>
        <w:spacing w:after="0" w:line="360" w:lineRule="auto"/>
        <w:ind w:firstLine="480" w:firstLineChars="200" w:left="0" w:leftChars="0"/>
        <w:rPr>
          <w:b w:val="1"/>
          <w:color w:val="auto"/>
          <w:sz w:val="24"/>
          <w:bCs/>
          <w:szCs w:val="24"/>
          <w:rFonts w:ascii="宋体" w:hAnsi="宋体" w:eastAsia="宋体" w:hint="eastAsia"/>
        </w:rPr>
      </w:pPr>
      <w:r>
        <w:rPr>
          <w:color w:val="auto"/>
          <w:sz w:val="24"/>
          <w:lang w:val="en-US" w:eastAsia="zh-CN"/>
          <w:szCs w:val="24"/>
          <w:rFonts w:ascii="宋体" w:hAnsi="宋体" w:eastAsia="宋体" w:hint="eastAsia"/>
        </w:rPr>
        <w:t>本次招标的</w:t>
      </w:r>
      <w:r>
        <w:rPr>
          <w:color w:val="auto"/>
          <w:sz w:val="24"/>
          <w:szCs w:val="24"/>
          <w:rFonts w:ascii="宋体" w:hAnsi="宋体" w:eastAsia="宋体" w:hint="eastAsia"/>
        </w:rPr>
        <w:t>系统</w:t>
      </w:r>
      <w:r>
        <w:rPr>
          <w:color w:val="auto"/>
          <w:sz w:val="24"/>
          <w:szCs w:val="24"/>
          <w:rFonts w:ascii="宋体" w:hAnsi="宋体" w:eastAsia="宋体" w:hint="eastAsia"/>
        </w:rPr>
        <w:t>的设计和开发部署</w:t>
      </w:r>
      <w:r>
        <w:rPr>
          <w:color w:val="auto"/>
          <w:sz w:val="24"/>
          <w:lang w:val="en-US" w:eastAsia="zh-CN"/>
          <w:szCs w:val="24"/>
          <w:rFonts w:ascii="宋体" w:hAnsi="宋体" w:eastAsia="宋体" w:hint="eastAsia"/>
        </w:rPr>
        <w:t>需</w:t>
      </w:r>
      <w:r>
        <w:rPr>
          <w:color w:val="auto"/>
          <w:sz w:val="24"/>
          <w:szCs w:val="24"/>
          <w:rFonts w:ascii="宋体" w:hAnsi="宋体" w:eastAsia="宋体" w:hint="eastAsia"/>
        </w:rPr>
        <w:t>符合国家标准和技术规范。主要体现在系统的接口、数据、服务和操作均采用标准化设计。系统提供开放的接口，可与不同供应商的设备及软件系统互联互通，</w:t>
      </w:r>
      <w:r>
        <w:rPr>
          <w:color w:val="auto"/>
          <w:sz w:val="24"/>
          <w:szCs w:val="24"/>
          <w:rFonts w:ascii="宋体" w:hAnsi="宋体" w:eastAsia="宋体"/>
        </w:rPr>
        <w:t>从而满足系统未来接入其他平台的应用</w:t>
      </w:r>
      <w:r>
        <w:rPr>
          <w:color w:val="auto"/>
          <w:sz w:val="24"/>
          <w:szCs w:val="24"/>
          <w:rFonts w:ascii="宋体" w:hAnsi="宋体" w:eastAsia="宋体" w:hint="eastAsia"/>
        </w:rPr>
        <w:t>。</w:t>
      </w:r>
    </w:p>
    <w:p w14:paraId="2741F605">
      <w:pPr>
        <w:widowControl w:val="1"/>
        <w:adjustRightInd w:val="0"/>
        <w:snapToGrid w:val="0"/>
        <w:numPr>
          <w:ilvl w:val="0"/>
          <w:numId w:val="4"/>
        </w:numPr>
        <w:spacing w:line="360" w:lineRule="auto"/>
        <w:rPr>
          <w:b w:val="1"/>
          <w:color w:val="auto"/>
          <w:sz w:val="24"/>
          <w:bCs/>
          <w:szCs w:val="24"/>
          <w:rFonts w:ascii="宋体" w:hAnsi="宋体" w:eastAsia="宋体" w:hint="eastAsia"/>
        </w:rPr>
      </w:pPr>
      <w:r>
        <w:rPr>
          <w:b w:val="1"/>
          <w:color w:val="auto"/>
          <w:sz w:val="24"/>
          <w:bCs/>
          <w:szCs w:val="24"/>
          <w:rFonts w:ascii="宋体" w:hAnsi="宋体" w:eastAsia="宋体" w:hint="eastAsia"/>
        </w:rPr>
        <w:t>先进性</w:t>
      </w:r>
    </w:p>
    <w:p w14:paraId="2887D4BE">
      <w:pPr>
        <w:pStyle w:val="18"/>
        <w:widowControl w:val="1"/>
        <w:adjustRightInd w:val="0"/>
        <w:snapToGrid w:val="0"/>
        <w:spacing w:after="0" w:line="360" w:lineRule="auto"/>
        <w:ind w:firstLine="480" w:firstLineChars="200" w:left="0" w:leftChars="0"/>
        <w:rPr>
          <w:color w:val="auto"/>
          <w:sz w:val="24"/>
          <w:szCs w:val="24"/>
          <w:rFonts w:ascii="宋体" w:hAnsi="宋体" w:eastAsia="宋体" w:hint="eastAsia"/>
        </w:rPr>
      </w:pPr>
      <w:r>
        <w:rPr>
          <w:color w:val="auto"/>
          <w:sz w:val="24"/>
          <w:lang w:val="en-US" w:eastAsia="zh-CN"/>
          <w:szCs w:val="24"/>
          <w:rFonts w:ascii="宋体" w:hAnsi="宋体" w:eastAsia="宋体" w:hint="eastAsia"/>
        </w:rPr>
        <w:t>本次招标的</w:t>
      </w:r>
      <w:r>
        <w:rPr>
          <w:color w:val="auto"/>
          <w:sz w:val="24"/>
          <w:szCs w:val="24"/>
          <w:rFonts w:ascii="宋体" w:hAnsi="宋体" w:eastAsia="宋体" w:hint="eastAsia"/>
        </w:rPr>
        <w:t>系统</w:t>
      </w:r>
      <w:r>
        <w:rPr>
          <w:color w:val="auto"/>
          <w:sz w:val="24"/>
          <w:lang w:val="en-US" w:eastAsia="zh-CN"/>
          <w:szCs w:val="24"/>
          <w:rFonts w:ascii="宋体" w:hAnsi="宋体" w:eastAsia="宋体" w:hint="eastAsia"/>
        </w:rPr>
        <w:t>需</w:t>
      </w:r>
      <w:r>
        <w:rPr>
          <w:color w:val="auto"/>
          <w:sz w:val="24"/>
          <w:szCs w:val="24"/>
          <w:rFonts w:ascii="宋体" w:hAnsi="宋体" w:eastAsia="宋体" w:hint="eastAsia"/>
        </w:rPr>
        <w:t xml:space="preserve">充分考虑信息技术和信息需求的发展的趋势，在技术上具有一定的超前性。采用国际或国内通行的先进技术，以适应未来的应用需求。设计时保证所选用的硬件设备和软件系统的实用性和先进性，并具有较长生命周期和先进水平。    </w:t>
      </w:r>
    </w:p>
    <w:p w14:paraId="7DF935F7">
      <w:pPr>
        <w:pStyle w:val="18"/>
        <w:widowControl w:val="1"/>
        <w:adjustRightInd w:val="0"/>
        <w:snapToGrid w:val="0"/>
        <w:spacing w:after="0" w:line="360" w:lineRule="auto"/>
        <w:ind w:firstLine="480" w:firstLineChars="200" w:left="0" w:leftChars="0"/>
        <w:rPr>
          <w:color w:val="auto"/>
          <w:sz w:val="24"/>
          <w:szCs w:val="24"/>
          <w:rFonts w:ascii="宋体" w:hAnsi="宋体" w:eastAsia="宋体" w:hint="eastAsia"/>
        </w:rPr>
      </w:pPr>
      <w:r>
        <w:rPr>
          <w:color w:val="auto"/>
          <w:sz w:val="24"/>
          <w:lang w:val="en-US" w:eastAsia="zh-CN"/>
          <w:szCs w:val="24"/>
          <w:rFonts w:ascii="宋体" w:hAnsi="宋体" w:eastAsia="宋体" w:hint="eastAsia"/>
        </w:rPr>
        <w:t>本次招标的</w:t>
      </w:r>
      <w:r>
        <w:rPr>
          <w:color w:val="auto"/>
          <w:sz w:val="24"/>
          <w:szCs w:val="24"/>
          <w:rFonts w:ascii="宋体" w:hAnsi="宋体" w:eastAsia="宋体" w:hint="eastAsia"/>
        </w:rPr>
        <w:t>系统</w:t>
      </w:r>
      <w:r>
        <w:rPr>
          <w:color w:val="auto"/>
          <w:sz w:val="24"/>
          <w:szCs w:val="24"/>
          <w:rFonts w:ascii="宋体" w:hAnsi="宋体" w:eastAsia="宋体" w:hint="eastAsia"/>
        </w:rPr>
        <w:t>基于组态的设计理念，</w:t>
      </w:r>
      <w:r>
        <w:rPr>
          <w:color w:val="auto"/>
          <w:sz w:val="24"/>
          <w:lang w:val="en-US" w:eastAsia="zh-CN"/>
          <w:szCs w:val="24"/>
          <w:rFonts w:ascii="宋体" w:hAnsi="宋体" w:eastAsia="宋体" w:hint="eastAsia"/>
        </w:rPr>
        <w:t>实现</w:t>
      </w:r>
      <w:r>
        <w:rPr>
          <w:color w:val="auto"/>
          <w:sz w:val="24"/>
          <w:szCs w:val="24"/>
          <w:rFonts w:ascii="宋体" w:hAnsi="宋体" w:eastAsia="宋体" w:hint="eastAsia"/>
        </w:rPr>
        <w:t xml:space="preserve">以一套通用平台解决设备用电数据采集、现场SCADA监控、云平台数据分析、手机APP运维管理等四维一体的解决方案。    </w:t>
      </w:r>
    </w:p>
    <w:p w14:paraId="5C9846BB">
      <w:pPr>
        <w:widowControl w:val="1"/>
        <w:adjustRightInd w:val="0"/>
        <w:snapToGrid w:val="0"/>
        <w:numPr>
          <w:ilvl w:val="0"/>
          <w:numId w:val="4"/>
        </w:numPr>
        <w:spacing w:line="360" w:lineRule="auto"/>
        <w:rPr>
          <w:b w:val="1"/>
          <w:color w:val="auto"/>
          <w:sz w:val="24"/>
          <w:bCs/>
          <w:szCs w:val="24"/>
          <w:rFonts w:ascii="宋体" w:hAnsi="宋体" w:eastAsia="宋体" w:hint="eastAsia"/>
        </w:rPr>
      </w:pPr>
      <w:bookmarkStart w:id="23" w:name="_Toc71452196"/>
      <w:bookmarkStart w:id="24" w:name="_Toc71625356"/>
      <w:bookmarkStart w:id="25" w:name="_Toc72313314"/>
      <w:r>
        <w:rPr>
          <w:b w:val="1"/>
          <w:color w:val="auto"/>
          <w:sz w:val="24"/>
          <w:bCs/>
          <w:szCs w:val="24"/>
          <w:rFonts w:ascii="宋体" w:hAnsi="宋体" w:eastAsia="宋体" w:hint="eastAsia"/>
        </w:rPr>
        <w:t>稳定性</w:t>
      </w:r>
      <w:bookmarkEnd w:id="23"/>
      <w:bookmarkEnd w:id="24"/>
      <w:bookmarkEnd w:id="25"/>
    </w:p>
    <w:p w14:paraId="58DE5377">
      <w:pPr>
        <w:widowControl w:val="1"/>
        <w:adjustRightInd w:val="0"/>
        <w:snapToGrid w:val="0"/>
        <w:spacing w:line="360" w:lineRule="auto"/>
        <w:ind w:firstLine="480" w:firstLineChars="200"/>
        <w:rPr>
          <w:color w:val="auto"/>
          <w:sz w:val="24"/>
          <w:szCs w:val="24"/>
          <w:rFonts w:ascii="宋体" w:hAnsi="宋体" w:eastAsia="宋体" w:hint="eastAsia"/>
        </w:rPr>
      </w:pPr>
      <w:r>
        <w:rPr>
          <w:color w:val="auto"/>
          <w:sz w:val="24"/>
          <w:lang w:val="en-US" w:eastAsia="zh-CN"/>
          <w:szCs w:val="24"/>
          <w:rFonts w:ascii="宋体" w:hAnsi="宋体" w:eastAsia="宋体" w:hint="eastAsia"/>
        </w:rPr>
        <w:t>本次招标的</w:t>
      </w:r>
      <w:r>
        <w:rPr>
          <w:color w:val="auto"/>
          <w:sz w:val="24"/>
          <w:szCs w:val="24"/>
          <w:rFonts w:ascii="宋体" w:hAnsi="宋体" w:eastAsia="宋体" w:hint="eastAsia"/>
        </w:rPr>
        <w:t>系统</w:t>
      </w:r>
      <w:r>
        <w:rPr>
          <w:color w:val="auto"/>
          <w:sz w:val="24"/>
          <w:lang w:val="en-US" w:eastAsia="zh-CN"/>
          <w:szCs w:val="24"/>
          <w:rFonts w:ascii="宋体" w:hAnsi="宋体" w:eastAsia="宋体" w:hint="eastAsia"/>
        </w:rPr>
        <w:t>需无论</w:t>
      </w:r>
      <w:r>
        <w:rPr>
          <w:color w:val="auto"/>
          <w:sz w:val="24"/>
          <w:szCs w:val="24"/>
          <w:rFonts w:ascii="宋体" w:hAnsi="宋体" w:eastAsia="宋体" w:hint="eastAsia"/>
        </w:rPr>
        <w:t>从系统、结构、产品性能和设备选型</w:t>
      </w:r>
      <w:r>
        <w:rPr>
          <w:color w:val="auto"/>
          <w:sz w:val="24"/>
          <w:lang w:eastAsia="zh-CN"/>
          <w:szCs w:val="24"/>
          <w:rFonts w:ascii="宋体" w:hAnsi="宋体" w:eastAsia="宋体" w:hint="eastAsia"/>
        </w:rPr>
        <w:t>，</w:t>
      </w:r>
      <w:r>
        <w:rPr>
          <w:color w:val="auto"/>
          <w:sz w:val="24"/>
          <w:szCs w:val="24"/>
          <w:rFonts w:ascii="宋体" w:hAnsi="宋体" w:eastAsia="宋体" w:hint="eastAsia"/>
        </w:rPr>
        <w:t>还是到具体的实施方案，都要考虑到系统的稳定性，并且在系统集成过程中对硬件设备安装、操作系统应用、网络连接、数据库设计将尽可能完善的做出故障检测、诊断及处理策略，以保证系统的稳定性和可靠性，确保系统正常、稳定、可靠、连续地运行。</w:t>
      </w:r>
    </w:p>
    <w:p w14:paraId="4EE21915">
      <w:pPr>
        <w:widowControl w:val="1"/>
        <w:adjustRightInd w:val="0"/>
        <w:snapToGrid w:val="0"/>
        <w:spacing w:line="360" w:lineRule="auto"/>
        <w:ind w:firstLine="480" w:firstLineChars="200"/>
        <w:rPr>
          <w:b w:val="1"/>
          <w:color w:val="auto"/>
          <w:sz w:val="24"/>
          <w:bCs/>
          <w:szCs w:val="24"/>
          <w:rFonts w:ascii="宋体" w:hAnsi="宋体" w:eastAsia="宋体" w:hint="eastAsia"/>
        </w:rPr>
      </w:pPr>
      <w:r>
        <w:rPr>
          <w:color w:val="auto"/>
          <w:sz w:val="24"/>
          <w:szCs w:val="24"/>
          <w:rFonts w:ascii="宋体" w:hAnsi="宋体" w:eastAsia="宋体" w:hint="eastAsia"/>
        </w:rPr>
        <w:t>数据采集接收装置采用嵌入式实时Linux操作系统和专用的硬件结构，性能稳定可靠，保证系统整体稳定，尤其适合在环境比较复杂，可靠性要求较高的环境中运行。云平台系统服务端采用跨平台</w:t>
      </w:r>
      <w:r>
        <w:rPr>
          <w:color w:val="auto"/>
          <w:sz w:val="24"/>
          <w:szCs w:val="24"/>
          <w:rFonts w:ascii="宋体" w:hAnsi="宋体" w:eastAsia="宋体"/>
        </w:rPr>
        <w:t xml:space="preserve"> J2EE </w:t>
      </w:r>
      <w:r>
        <w:rPr>
          <w:color w:val="auto"/>
          <w:sz w:val="24"/>
          <w:szCs w:val="24"/>
          <w:rFonts w:ascii="宋体" w:hAnsi="宋体" w:eastAsia="宋体" w:hint="eastAsia"/>
        </w:rPr>
        <w:t>专业级开发</w:t>
      </w:r>
      <w:r>
        <w:rPr>
          <w:color w:val="auto"/>
          <w:sz w:val="24"/>
          <w:szCs w:val="24"/>
          <w:rFonts w:ascii="宋体" w:hAnsi="宋体" w:eastAsia="宋体"/>
        </w:rPr>
        <w:t>服务框架，支持 Linux、 Windows 等主流操作系统。</w:t>
      </w:r>
      <w:r>
        <w:rPr>
          <w:color w:val="auto"/>
          <w:sz w:val="24"/>
          <w:szCs w:val="24"/>
          <w:rFonts w:ascii="宋体" w:hAnsi="宋体" w:eastAsia="宋体" w:hint="eastAsia"/>
        </w:rPr>
        <w:t>客户端采用跨平台</w:t>
      </w:r>
      <w:r>
        <w:rPr>
          <w:color w:val="auto"/>
          <w:sz w:val="24"/>
          <w:szCs w:val="24"/>
          <w:rFonts w:ascii="宋体" w:hAnsi="宋体" w:eastAsia="宋体"/>
        </w:rPr>
        <w:t xml:space="preserve"> H5 WEB 技术，支持主流浏览器和操作系统。</w:t>
      </w:r>
      <w:r>
        <w:rPr>
          <w:color w:val="auto"/>
          <w:sz w:val="24"/>
          <w:szCs w:val="24"/>
          <w:rFonts w:ascii="宋体" w:hAnsi="宋体" w:eastAsia="宋体" w:hint="eastAsia"/>
        </w:rPr>
        <w:t>满足大数据采集、大容量数据存储和高并发的数据访问请求。</w:t>
      </w:r>
      <w:r>
        <w:rPr>
          <w:b w:val="1"/>
          <w:color w:val="auto"/>
          <w:sz w:val="24"/>
          <w:bCs/>
          <w:szCs w:val="24"/>
          <w:rFonts w:ascii="宋体" w:hAnsi="宋体" w:eastAsia="宋体" w:hint="eastAsia"/>
        </w:rPr>
        <w:t xml:space="preserve">  </w:t>
      </w:r>
    </w:p>
    <w:p w14:paraId="22A212ED">
      <w:pPr>
        <w:widowControl w:val="1"/>
        <w:adjustRightInd w:val="0"/>
        <w:snapToGrid w:val="0"/>
        <w:numPr>
          <w:ilvl w:val="0"/>
          <w:numId w:val="4"/>
        </w:numPr>
        <w:spacing w:line="360" w:lineRule="auto"/>
        <w:rPr>
          <w:b w:val="1"/>
          <w:color w:val="auto"/>
          <w:sz w:val="24"/>
          <w:bCs/>
          <w:szCs w:val="24"/>
          <w:rFonts w:ascii="宋体" w:hAnsi="宋体" w:eastAsia="宋体" w:hint="eastAsia"/>
        </w:rPr>
      </w:pPr>
      <w:bookmarkStart w:id="26" w:name="_Toc72313316"/>
      <w:bookmarkStart w:id="27" w:name="_Toc65741968"/>
      <w:bookmarkStart w:id="28" w:name="_Toc71452198"/>
      <w:bookmarkStart w:id="29" w:name="_Toc71625358"/>
      <w:r>
        <w:rPr>
          <w:b w:val="1"/>
          <w:color w:val="auto"/>
          <w:sz w:val="24"/>
          <w:bCs/>
          <w:szCs w:val="24"/>
          <w:rFonts w:ascii="宋体" w:hAnsi="宋体" w:eastAsia="宋体" w:hint="eastAsia"/>
        </w:rPr>
        <w:t>可操作性</w:t>
      </w:r>
      <w:bookmarkEnd w:id="26"/>
      <w:bookmarkEnd w:id="27"/>
      <w:bookmarkEnd w:id="28"/>
      <w:bookmarkEnd w:id="29"/>
      <w:r>
        <w:rPr>
          <w:b w:val="1"/>
          <w:color w:val="auto"/>
          <w:sz w:val="24"/>
          <w:bCs/>
          <w:szCs w:val="24"/>
          <w:rFonts w:ascii="宋体" w:hAnsi="宋体" w:eastAsia="宋体" w:hint="eastAsia"/>
        </w:rPr>
        <w:t xml:space="preserve"> </w:t>
      </w:r>
    </w:p>
    <w:p w14:paraId="049CFC24">
      <w:pPr>
        <w:widowControl w:val="1"/>
        <w:adjustRightInd w:val="0"/>
        <w:snapToGrid w:val="0"/>
        <w:spacing w:line="360" w:lineRule="auto"/>
        <w:rPr>
          <w:color w:val="auto"/>
          <w:sz w:val="24"/>
          <w:bCs/>
          <w:szCs w:val="24"/>
          <w:rFonts w:ascii="宋体" w:hAnsi="宋体" w:eastAsia="宋体" w:hint="eastAsia"/>
        </w:rPr>
      </w:pPr>
      <w:r>
        <w:rPr>
          <w:b w:val="1"/>
          <w:color w:val="auto"/>
          <w:sz w:val="24"/>
          <w:bCs/>
          <w:szCs w:val="24"/>
          <w:rFonts w:ascii="宋体" w:hAnsi="宋体" w:eastAsia="宋体" w:hint="eastAsia"/>
        </w:rPr>
        <w:t xml:space="preserve"> </w:t>
      </w:r>
      <w:r>
        <w:rPr>
          <w:b w:val="1"/>
          <w:color w:val="auto"/>
          <w:sz w:val="24"/>
          <w:bCs/>
          <w:szCs w:val="24"/>
          <w:rFonts w:ascii="宋体" w:hAnsi="宋体" w:eastAsia="宋体"/>
        </w:rPr>
        <w:t xml:space="preserve">  </w:t>
      </w:r>
      <w:r>
        <w:rPr>
          <w:color w:val="auto"/>
          <w:sz w:val="24"/>
          <w:bCs/>
          <w:szCs w:val="24"/>
          <w:rFonts w:ascii="宋体" w:hAnsi="宋体" w:eastAsia="宋体"/>
        </w:rPr>
        <w:t xml:space="preserve"> </w:t>
      </w:r>
      <w:r>
        <w:rPr>
          <w:color w:val="auto"/>
          <w:sz w:val="24"/>
          <w:bCs/>
          <w:szCs w:val="24"/>
          <w:rFonts w:ascii="宋体" w:hAnsi="宋体" w:eastAsia="宋体" w:hint="eastAsia"/>
        </w:rPr>
        <w:t>界面</w:t>
      </w:r>
      <w:r>
        <w:rPr>
          <w:color w:val="auto"/>
          <w:sz w:val="24"/>
          <w:bCs/>
          <w:szCs w:val="24"/>
          <w:rFonts w:ascii="宋体" w:hAnsi="宋体" w:eastAsia="宋体"/>
        </w:rPr>
        <w:t>友好</w:t>
      </w:r>
      <w:r>
        <w:rPr>
          <w:color w:val="auto"/>
          <w:sz w:val="24"/>
          <w:bCs/>
          <w:szCs w:val="24"/>
          <w:rFonts w:ascii="宋体" w:hAnsi="宋体" w:eastAsia="宋体" w:hint="eastAsia"/>
        </w:rPr>
        <w:t>，成分充分考虑操作人员的特点，使数据处理工作简单、方便、快捷，业务流程</w:t>
      </w:r>
      <w:r>
        <w:rPr>
          <w:color w:val="auto"/>
          <w:sz w:val="24"/>
          <w:bCs/>
          <w:szCs w:val="24"/>
          <w:rFonts w:ascii="宋体" w:hAnsi="宋体" w:eastAsia="宋体"/>
        </w:rPr>
        <w:t>清晰，符合</w:t>
      </w:r>
      <w:r>
        <w:rPr>
          <w:color w:val="auto"/>
          <w:sz w:val="24"/>
          <w:bCs/>
          <w:szCs w:val="24"/>
          <w:rFonts w:ascii="宋体" w:hAnsi="宋体" w:eastAsia="宋体" w:hint="eastAsia"/>
        </w:rPr>
        <w:t>常规</w:t>
      </w:r>
      <w:r>
        <w:rPr>
          <w:color w:val="auto"/>
          <w:sz w:val="24"/>
          <w:bCs/>
          <w:szCs w:val="24"/>
          <w:rFonts w:ascii="宋体" w:hAnsi="宋体" w:eastAsia="宋体"/>
        </w:rPr>
        <w:t>业务处理习惯，其中大部分的操作可以通过简单</w:t>
      </w:r>
    </w:p>
    <w:p w14:paraId="62ED558C">
      <w:pPr>
        <w:widowControl w:val="1"/>
        <w:adjustRightInd w:val="0"/>
        <w:snapToGrid w:val="0"/>
        <w:jc w:val="left"/>
        <w:spacing w:line="360" w:lineRule="auto"/>
        <w:rPr>
          <w:b w:val="1"/>
          <w:color w:val="auto"/>
          <w:sz w:val="24"/>
          <w:bCs/>
          <w:szCs w:val="24"/>
          <w:rFonts w:ascii="宋体" w:hAnsi="宋体" w:eastAsia="宋体" w:hint="eastAsia"/>
        </w:rPr>
      </w:pPr>
      <w:r>
        <w:rPr>
          <w:color w:val="auto"/>
          <w:sz w:val="24"/>
          <w:szCs w:val="24"/>
          <w:rFonts w:ascii="宋体" w:hAnsi="宋体" w:eastAsia="宋体" w:hint="eastAsia"/>
        </w:rPr>
        <w:t>培训即可掌握。系统数据维护方便，备份及数据恢复快速简单。</w:t>
      </w:r>
    </w:p>
    <w:p w14:paraId="429C6764">
      <w:pPr>
        <w:widowControl w:val="1"/>
        <w:adjustRightInd w:val="0"/>
        <w:snapToGrid w:val="0"/>
        <w:numPr>
          <w:ilvl w:val="0"/>
          <w:numId w:val="4"/>
        </w:numPr>
        <w:spacing w:line="360" w:lineRule="auto"/>
        <w:rPr>
          <w:b w:val="1"/>
          <w:color w:val="auto"/>
          <w:sz w:val="24"/>
          <w:bCs/>
          <w:szCs w:val="24"/>
          <w:rFonts w:ascii="宋体" w:hAnsi="宋体" w:eastAsia="宋体" w:hint="eastAsia"/>
        </w:rPr>
      </w:pPr>
      <w:bookmarkStart w:id="30" w:name="_Toc71625359"/>
      <w:bookmarkStart w:id="31" w:name="_Toc65741967"/>
      <w:bookmarkStart w:id="32" w:name="_Toc72313317"/>
      <w:bookmarkStart w:id="33" w:name="_Toc71452199"/>
      <w:r>
        <w:rPr>
          <w:b w:val="1"/>
          <w:color w:val="auto"/>
          <w:sz w:val="24"/>
          <w:bCs/>
          <w:szCs w:val="24"/>
          <w:rFonts w:ascii="宋体" w:hAnsi="宋体" w:eastAsia="宋体" w:hint="eastAsia"/>
        </w:rPr>
        <w:t>兼容性</w:t>
      </w:r>
      <w:bookmarkEnd w:id="30"/>
      <w:bookmarkEnd w:id="31"/>
      <w:bookmarkEnd w:id="32"/>
      <w:bookmarkEnd w:id="33"/>
    </w:p>
    <w:p w14:paraId="05373A34">
      <w:pPr>
        <w:widowControl w:val="1"/>
        <w:adjustRightInd w:val="0"/>
        <w:snapToGrid w:val="0"/>
        <w:spacing w:line="360" w:lineRule="auto"/>
        <w:ind w:firstLine="480" w:firstLineChars="200"/>
        <w:rPr>
          <w:color w:val="auto"/>
          <w:sz w:val="24"/>
          <w:szCs w:val="24"/>
          <w:rFonts w:ascii="宋体" w:hAnsi="宋体" w:eastAsia="宋体" w:hint="eastAsia"/>
        </w:rPr>
      </w:pPr>
      <w:r>
        <w:rPr>
          <w:color w:val="auto"/>
          <w:sz w:val="24"/>
          <w:lang w:val="en-US" w:eastAsia="zh-CN"/>
          <w:szCs w:val="24"/>
          <w:rFonts w:ascii="宋体" w:hAnsi="宋体" w:eastAsia="宋体" w:hint="eastAsia"/>
        </w:rPr>
        <w:t>本次招标的</w:t>
      </w:r>
      <w:r>
        <w:rPr>
          <w:color w:val="auto"/>
          <w:sz w:val="24"/>
          <w:szCs w:val="24"/>
          <w:rFonts w:ascii="宋体" w:hAnsi="宋体" w:eastAsia="宋体" w:hint="eastAsia"/>
        </w:rPr>
        <w:t>系统</w:t>
      </w:r>
      <w:r>
        <w:rPr>
          <w:color w:val="auto"/>
          <w:sz w:val="24"/>
          <w:szCs w:val="24"/>
          <w:rFonts w:ascii="宋体" w:hAnsi="宋体" w:eastAsia="宋体" w:hint="eastAsia"/>
        </w:rPr>
        <w:t>无需采用有别于为该软件准备的手段就可能适应不同的规定环境有关的软件属性，可以很好的对接目前及未来建设的相关软件平台，并可方便扩展后续的软件功能、接入非电量监测设备（震动、温度、雷达微波、视频等）的数据、子系统，适应现代智能管控的要求。</w:t>
      </w:r>
    </w:p>
    <w:p w14:paraId="32C08C52">
      <w:pPr>
        <w:widowControl w:val="1"/>
        <w:adjustRightInd w:val="0"/>
        <w:snapToGrid w:val="0"/>
        <w:numPr>
          <w:ilvl w:val="0"/>
          <w:numId w:val="4"/>
        </w:numPr>
        <w:spacing w:line="360" w:lineRule="auto"/>
        <w:rPr>
          <w:b w:val="1"/>
          <w:color w:val="auto"/>
          <w:sz w:val="24"/>
          <w:bCs/>
          <w:szCs w:val="24"/>
          <w:rFonts w:ascii="宋体" w:hAnsi="宋体" w:eastAsia="宋体" w:hint="eastAsia"/>
        </w:rPr>
      </w:pPr>
      <w:r>
        <w:rPr>
          <w:b w:val="1"/>
          <w:color w:val="auto"/>
          <w:sz w:val="24"/>
          <w:bCs/>
          <w:szCs w:val="24"/>
          <w:rFonts w:ascii="宋体" w:hAnsi="宋体" w:eastAsia="宋体" w:hint="eastAsia"/>
        </w:rPr>
        <w:t>可扩展性</w:t>
      </w:r>
    </w:p>
    <w:p w14:paraId="1FD3FECE">
      <w:pPr>
        <w:widowControl w:val="1"/>
        <w:adjustRightInd w:val="0"/>
        <w:snapToGrid w:val="0"/>
        <w:spacing w:line="360" w:lineRule="auto"/>
        <w:ind w:firstLine="480" w:firstLineChars="200"/>
        <w:rPr>
          <w:color w:val="auto"/>
          <w:sz w:val="24"/>
          <w:szCs w:val="24"/>
          <w:rFonts w:ascii="宋体" w:hAnsi="宋体" w:eastAsia="宋体" w:hint="eastAsia"/>
        </w:rPr>
      </w:pPr>
      <w:r>
        <w:rPr>
          <w:color w:val="auto"/>
          <w:sz w:val="24"/>
          <w:lang w:val="en-US" w:eastAsia="zh-CN"/>
          <w:szCs w:val="24"/>
          <w:rFonts w:ascii="宋体" w:hAnsi="宋体" w:eastAsia="宋体" w:hint="eastAsia"/>
        </w:rPr>
        <w:t>本次招标的</w:t>
      </w:r>
      <w:r>
        <w:rPr>
          <w:color w:val="auto"/>
          <w:sz w:val="24"/>
          <w:szCs w:val="24"/>
          <w:rFonts w:ascii="宋体" w:hAnsi="宋体" w:eastAsia="宋体" w:hint="eastAsia"/>
        </w:rPr>
        <w:t>系统</w:t>
      </w:r>
      <w:r>
        <w:rPr>
          <w:color w:val="auto"/>
          <w:sz w:val="24"/>
          <w:szCs w:val="24"/>
          <w:rFonts w:ascii="宋体" w:hAnsi="宋体" w:eastAsia="宋体" w:hint="eastAsia"/>
        </w:rPr>
        <w:t>可充分利用和保护现有网络资源，便于以后的扩建。不但要保证目前系统容量的要求，也要考虑今后系统的发展，便于向更新技术的升级与衔接。平台服务器具备扩展和兼容能力，便于不同级别的中心整合和扩建。考虑到今后业务的发展，</w:t>
      </w:r>
      <w:r>
        <w:rPr>
          <w:color w:val="auto"/>
          <w:sz w:val="24"/>
          <w:lang w:val="en-US" w:eastAsia="zh-CN"/>
          <w:szCs w:val="24"/>
          <w:rFonts w:ascii="宋体" w:hAnsi="宋体" w:eastAsia="宋体" w:hint="eastAsia"/>
        </w:rPr>
        <w:t>本次招标的</w:t>
      </w:r>
      <w:r>
        <w:rPr>
          <w:color w:val="auto"/>
          <w:sz w:val="24"/>
          <w:szCs w:val="24"/>
          <w:rFonts w:ascii="宋体" w:hAnsi="宋体" w:eastAsia="宋体" w:hint="eastAsia"/>
        </w:rPr>
        <w:t>系统</w:t>
      </w:r>
      <w:r>
        <w:rPr>
          <w:color w:val="auto"/>
          <w:sz w:val="24"/>
          <w:szCs w:val="24"/>
          <w:rFonts w:ascii="宋体" w:hAnsi="宋体" w:eastAsia="宋体" w:hint="eastAsia"/>
        </w:rPr>
        <w:t>必须具</w:t>
      </w:r>
      <w:r>
        <w:rPr>
          <w:color w:val="auto"/>
          <w:sz w:val="24"/>
          <w:lang w:val="en-US" w:eastAsia="zh-CN"/>
          <w:szCs w:val="24"/>
          <w:rFonts w:ascii="宋体" w:hAnsi="宋体" w:eastAsia="宋体" w:hint="eastAsia"/>
        </w:rPr>
        <w:t>留</w:t>
      </w:r>
      <w:r>
        <w:rPr>
          <w:color w:val="auto"/>
          <w:sz w:val="24"/>
          <w:lang w:val="en-US" w:eastAsia="zh-CN"/>
          <w:szCs w:val="24"/>
          <w:rFonts w:ascii="宋体" w:hAnsi="宋体" w:eastAsia="宋体" w:hint="eastAsia"/>
        </w:rPr>
        <w:t>有20%的</w:t>
      </w:r>
      <w:r>
        <w:rPr>
          <w:color w:val="auto"/>
          <w:sz w:val="24"/>
          <w:szCs w:val="24"/>
          <w:rFonts w:ascii="宋体" w:hAnsi="宋体" w:eastAsia="宋体" w:hint="eastAsia"/>
        </w:rPr>
        <w:t>监控点数和存储空间</w:t>
      </w:r>
      <w:r>
        <w:rPr>
          <w:color w:val="auto"/>
          <w:sz w:val="24"/>
          <w:lang w:val="en-US" w:eastAsia="zh-CN"/>
          <w:szCs w:val="24"/>
          <w:rFonts w:ascii="宋体" w:hAnsi="宋体" w:eastAsia="宋体" w:hint="eastAsia"/>
        </w:rPr>
        <w:t>的</w:t>
      </w:r>
      <w:r>
        <w:rPr>
          <w:color w:val="auto"/>
          <w:sz w:val="24"/>
          <w:szCs w:val="24"/>
          <w:rFonts w:ascii="宋体" w:hAnsi="宋体" w:eastAsia="宋体" w:hint="eastAsia"/>
        </w:rPr>
        <w:t>扩容能力。</w:t>
      </w:r>
    </w:p>
    <w:p w14:paraId="22E2F696">
      <w:pPr>
        <w:widowControl w:val="1"/>
        <w:adjustRightInd w:val="0"/>
        <w:snapToGrid w:val="0"/>
        <w:numPr>
          <w:ilvl w:val="0"/>
          <w:numId w:val="4"/>
        </w:numPr>
        <w:spacing w:line="360" w:lineRule="auto"/>
        <w:rPr>
          <w:b w:val="1"/>
          <w:color w:val="auto"/>
          <w:sz w:val="24"/>
          <w:bCs/>
          <w:szCs w:val="24"/>
          <w:rFonts w:ascii="宋体" w:hAnsi="宋体" w:eastAsia="宋体" w:hint="eastAsia"/>
        </w:rPr>
      </w:pPr>
      <w:bookmarkStart w:id="34" w:name="_Toc65741965"/>
      <w:bookmarkStart w:id="35" w:name="_Toc71452201"/>
      <w:bookmarkStart w:id="36" w:name="_Toc71625361"/>
      <w:bookmarkStart w:id="37" w:name="_Toc72313319"/>
      <w:r>
        <w:rPr>
          <w:b w:val="1"/>
          <w:color w:val="auto"/>
          <w:sz w:val="24"/>
          <w:bCs/>
          <w:szCs w:val="24"/>
          <w:rFonts w:ascii="宋体" w:hAnsi="宋体" w:eastAsia="宋体" w:hint="eastAsia"/>
        </w:rPr>
        <w:t>安全</w:t>
      </w:r>
      <w:bookmarkEnd w:id="34"/>
      <w:r>
        <w:rPr>
          <w:b w:val="1"/>
          <w:color w:val="auto"/>
          <w:sz w:val="24"/>
          <w:bCs/>
          <w:szCs w:val="24"/>
          <w:rFonts w:ascii="宋体" w:hAnsi="宋体" w:eastAsia="宋体" w:hint="eastAsia"/>
        </w:rPr>
        <w:t>性</w:t>
      </w:r>
      <w:bookmarkEnd w:id="35"/>
      <w:bookmarkEnd w:id="36"/>
      <w:bookmarkEnd w:id="37"/>
    </w:p>
    <w:p w14:paraId="781A927C">
      <w:pPr>
        <w:widowControl w:val="1"/>
        <w:adjustRightInd w:val="0"/>
        <w:snapToGrid w:val="0"/>
        <w:spacing w:line="360" w:lineRule="auto"/>
        <w:ind w:firstLine="480" w:firstLineChars="200"/>
        <w:rPr>
          <w:color w:val="auto"/>
          <w:sz w:val="24"/>
          <w:szCs w:val="24"/>
          <w:rFonts w:ascii="宋体" w:hAnsi="宋体" w:eastAsia="宋体" w:hint="eastAsia"/>
        </w:rPr>
      </w:pPr>
      <w:r>
        <w:rPr>
          <w:color w:val="auto"/>
          <w:sz w:val="24"/>
          <w:szCs w:val="24"/>
          <w:rFonts w:ascii="宋体" w:hAnsi="宋体" w:eastAsia="宋体" w:hint="eastAsia"/>
        </w:rPr>
        <w:t>为确保系统内信息内容的安全性、完整性和可用性，</w:t>
      </w:r>
      <w:r>
        <w:rPr>
          <w:color w:val="auto"/>
          <w:sz w:val="24"/>
          <w:lang w:val="en-US" w:eastAsia="zh-CN"/>
          <w:szCs w:val="24"/>
          <w:rFonts w:ascii="宋体" w:hAnsi="宋体" w:eastAsia="宋体" w:hint="eastAsia"/>
        </w:rPr>
        <w:t>本次招标的</w:t>
      </w:r>
      <w:r>
        <w:rPr>
          <w:color w:val="auto"/>
          <w:sz w:val="24"/>
          <w:szCs w:val="24"/>
          <w:rFonts w:ascii="宋体" w:hAnsi="宋体" w:eastAsia="宋体" w:hint="eastAsia"/>
        </w:rPr>
        <w:t>系统</w:t>
      </w:r>
      <w:r>
        <w:rPr>
          <w:color w:val="auto"/>
          <w:sz w:val="24"/>
          <w:szCs w:val="24"/>
          <w:rFonts w:ascii="宋体" w:hAnsi="宋体" w:eastAsia="宋体" w:hint="eastAsia"/>
        </w:rPr>
        <w:t>应具有高度的稳定性和保密性。</w:t>
      </w:r>
    </w:p>
    <w:p w14:paraId="2E728F84">
      <w:pPr>
        <w:widowControl w:val="1"/>
        <w:adjustRightInd w:val="0"/>
        <w:snapToGrid w:val="0"/>
        <w:spacing w:line="360" w:lineRule="auto"/>
        <w:ind w:firstLine="480" w:firstLineChars="200"/>
        <w:rPr>
          <w:color w:val="auto"/>
          <w:sz w:val="24"/>
          <w:szCs w:val="24"/>
          <w:rFonts w:ascii="宋体" w:hAnsi="宋体" w:eastAsia="宋体" w:hint="eastAsia"/>
        </w:rPr>
      </w:pPr>
      <w:r>
        <w:rPr>
          <w:color w:val="auto"/>
          <w:sz w:val="24"/>
          <w:szCs w:val="24"/>
          <w:rFonts w:ascii="宋体" w:hAnsi="宋体" w:eastAsia="宋体" w:hint="eastAsia"/>
        </w:rPr>
        <w:t>数据安全：对数据进行多级别、分布式、划区域的存储，保证数据不容易破坏。数据的AES加密机制，保证数据在网络传输过程中的安全，不会被截获、篡改和利用。</w:t>
      </w:r>
    </w:p>
    <w:p w14:paraId="7BF88727">
      <w:pPr>
        <w:widowControl w:val="1"/>
        <w:adjustRightInd w:val="0"/>
        <w:snapToGrid w:val="0"/>
        <w:spacing w:line="360" w:lineRule="auto"/>
        <w:ind w:firstLine="480" w:firstLineChars="200"/>
        <w:rPr>
          <w:color w:val="auto"/>
          <w:sz w:val="24"/>
          <w:szCs w:val="24"/>
          <w:rFonts w:ascii="宋体" w:hAnsi="宋体" w:eastAsia="宋体" w:hint="eastAsia"/>
        </w:rPr>
      </w:pPr>
      <w:r>
        <w:rPr>
          <w:color w:val="auto"/>
          <w:sz w:val="24"/>
          <w:szCs w:val="24"/>
          <w:rFonts w:ascii="宋体" w:hAnsi="宋体" w:eastAsia="宋体" w:hint="eastAsia"/>
        </w:rPr>
        <w:t>信息安全：承载网络具有一定的防止网络攻击和防御能力和防御措施。所有配置信息、管理信息、日志信息均存放在中心数据库，实行信息集中管理。</w:t>
      </w:r>
    </w:p>
    <w:p w14:paraId="0865D8F5">
      <w:pPr>
        <w:widowControl w:val="1"/>
        <w:adjustRightInd w:val="0"/>
        <w:snapToGrid w:val="0"/>
        <w:numPr>
          <w:ilvl w:val="0"/>
          <w:numId w:val="4"/>
        </w:numPr>
        <w:spacing w:line="360" w:lineRule="auto"/>
        <w:rPr>
          <w:b w:val="1"/>
          <w:color w:val="auto"/>
          <w:sz w:val="24"/>
          <w:bCs/>
          <w:szCs w:val="24"/>
          <w:rFonts w:ascii="宋体" w:hAnsi="宋体" w:eastAsia="宋体" w:hint="eastAsia"/>
        </w:rPr>
      </w:pPr>
      <w:r>
        <w:rPr>
          <w:b w:val="1"/>
          <w:color w:val="auto"/>
          <w:sz w:val="24"/>
          <w:bCs/>
          <w:szCs w:val="24"/>
          <w:rFonts w:ascii="宋体" w:hAnsi="宋体" w:eastAsia="宋体" w:cs="楷体" w:hint="eastAsia"/>
        </w:rPr>
        <w:t>易维护性</w:t>
      </w:r>
    </w:p>
    <w:p w14:paraId="048A5CD5">
      <w:pPr>
        <w:widowControl w:val="1"/>
        <w:adjustRightInd w:val="0"/>
        <w:snapToGrid w:val="0"/>
        <w:jc w:val="left"/>
        <w:spacing w:line="360" w:lineRule="auto"/>
        <w:ind w:firstLine="480"/>
        <w:rPr>
          <w:color w:val="auto"/>
          <w:sz w:val="24"/>
          <w:szCs w:val="24"/>
          <w:rFonts w:ascii="宋体" w:hAnsi="宋体" w:eastAsia="宋体" w:cs="楷体" w:hint="eastAsia"/>
        </w:rPr>
      </w:pPr>
      <w:r>
        <w:rPr>
          <w:color w:val="auto"/>
          <w:sz w:val="24"/>
          <w:szCs w:val="24"/>
          <w:rFonts w:ascii="宋体" w:hAnsi="宋体" w:eastAsia="宋体" w:cs="楷体" w:hint="eastAsia"/>
        </w:rPr>
        <w:t>平台具有操作界面友好、方便易掌握、日常维护简单、容易管理，以及支持用户二次开发等功能特点。平台</w:t>
      </w:r>
      <w:r>
        <w:rPr>
          <w:color w:val="auto"/>
          <w:sz w:val="24"/>
          <w:lang w:val="en-US" w:eastAsia="zh-CN"/>
          <w:szCs w:val="24"/>
          <w:rFonts w:ascii="宋体" w:hAnsi="宋体" w:eastAsia="宋体" w:cs="楷体" w:hint="eastAsia"/>
        </w:rPr>
        <w:t>需</w:t>
      </w:r>
      <w:r>
        <w:rPr>
          <w:color w:val="auto"/>
          <w:sz w:val="24"/>
          <w:szCs w:val="24"/>
          <w:rFonts w:ascii="宋体" w:hAnsi="宋体" w:eastAsia="宋体" w:cs="楷体" w:hint="eastAsia"/>
        </w:rPr>
        <w:t>集中部署</w:t>
      </w:r>
      <w:r>
        <w:rPr>
          <w:color w:val="auto"/>
          <w:sz w:val="24"/>
          <w:lang w:eastAsia="zh-CN"/>
          <w:szCs w:val="24"/>
          <w:rFonts w:ascii="宋体" w:hAnsi="宋体" w:eastAsia="宋体" w:cs="楷体" w:hint="eastAsia"/>
        </w:rPr>
        <w:t>，</w:t>
      </w:r>
      <w:r>
        <w:rPr>
          <w:color w:val="auto"/>
          <w:sz w:val="24"/>
          <w:szCs w:val="24"/>
          <w:rFonts w:ascii="宋体" w:hAnsi="宋体" w:eastAsia="宋体" w:cs="楷体" w:hint="eastAsia"/>
        </w:rPr>
        <w:t>以使于集中维护，系统自身应提供分权分级的权限管理机制，不同的系统模块可以设置不同级别的数据操作、统计和监控分析权限。</w:t>
      </w:r>
    </w:p>
    <w:p w14:paraId="07C2D107">
      <w:pPr>
        <w:jc w:val="left"/>
        <w:outlineLvl w:val="1"/>
        <w:spacing w:after="120" w:before="120" w:line="360" w:lineRule="auto"/>
        <w:rPr>
          <w:b w:val="1"/>
          <w:color w:val="auto"/>
          <w:sz w:val="28"/>
          <w:bCs/>
          <w:szCs w:val="28"/>
          <w:rFonts w:ascii="宋体" w:hAnsi="宋体" w:eastAsia="宋体"/>
        </w:rPr>
      </w:pPr>
      <w:bookmarkStart w:id="38" w:name="_Toc244176117"/>
      <w:bookmarkStart w:id="39" w:name="_Toc244176386"/>
      <w:r>
        <w:rPr>
          <w:b w:val="1"/>
          <w:color w:val="auto"/>
          <w:sz w:val="28"/>
          <w:bCs/>
          <w:szCs w:val="28"/>
          <w:rFonts w:ascii="宋体" w:hAnsi="宋体" w:eastAsia="宋体" w:hint="eastAsia"/>
        </w:rPr>
        <w:t>3.2 设计标准及规范</w:t>
      </w:r>
      <w:bookmarkEnd w:id="38"/>
      <w:bookmarkEnd w:id="39"/>
    </w:p>
    <w:p w14:paraId="57D9A8D2">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lang w:val="en-US" w:eastAsia="zh-CN"/>
          <w:szCs w:val="24"/>
          <w:rFonts w:ascii="宋体" w:hAnsi="宋体" w:eastAsia="宋体" w:hint="eastAsia"/>
        </w:rPr>
        <w:t>本次招标的</w:t>
      </w:r>
      <w:r>
        <w:rPr>
          <w:color w:val="auto"/>
          <w:sz w:val="24"/>
          <w:szCs w:val="24"/>
          <w:rFonts w:ascii="宋体" w:hAnsi="宋体" w:eastAsia="宋体" w:hint="eastAsia"/>
        </w:rPr>
        <w:t>系统</w:t>
      </w:r>
      <w:r>
        <w:rPr>
          <w:color w:val="auto"/>
          <w:sz w:val="24"/>
          <w:szCs w:val="24"/>
          <w:rFonts w:ascii="宋体" w:hAnsi="宋体" w:eastAsia="宋体" w:cs="Times New Roman" w:hint="eastAsia"/>
        </w:rPr>
        <w:t>的设计、工程施工及验收标准和规范等必须符合以下有关标准。未列出之标准应按中华人民共和国国家标准（</w:t>
      </w:r>
      <w:r>
        <w:rPr>
          <w:color w:val="auto"/>
          <w:sz w:val="24"/>
          <w:szCs w:val="24"/>
          <w:rFonts w:ascii="宋体" w:hAnsi="宋体" w:eastAsia="宋体" w:cs="Times New Roman"/>
        </w:rPr>
        <w:t>GB）或国际电工标准（IEC）及行业标准规范执行。</w:t>
      </w:r>
    </w:p>
    <w:p w14:paraId="542E71BB">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Q/GDW383—2009   智能变电站技术导则</w:t>
      </w:r>
    </w:p>
    <w:p w14:paraId="14CDECED">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 xml:space="preserve">GB/T 37546-2019  无人值守变电站监控系统技术规范  </w:t>
      </w:r>
    </w:p>
    <w:p w14:paraId="3B06F958">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GB 50059</w:t>
      </w:r>
      <w:r>
        <w:rPr>
          <w:color w:val="auto"/>
          <w:sz w:val="24"/>
          <w:szCs w:val="24"/>
          <w:rFonts w:ascii="MS Mincho" w:hAnsi="MS Mincho" w:eastAsia="MS Mincho" w:cs="MS Mincho" w:hint="eastAsia"/>
        </w:rPr>
        <w:t>‑</w:t>
      </w:r>
      <w:r>
        <w:rPr>
          <w:color w:val="auto"/>
          <w:sz w:val="24"/>
          <w:szCs w:val="24"/>
          <w:rFonts w:ascii="宋体" w:hAnsi="宋体" w:eastAsia="宋体" w:cs="Times New Roman"/>
        </w:rPr>
        <w:t>2011    35kV～110kV变电站设计规范</w:t>
      </w:r>
    </w:p>
    <w:p w14:paraId="1598761E">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GB/T 51072</w:t>
      </w:r>
      <w:r>
        <w:rPr>
          <w:color w:val="auto"/>
          <w:sz w:val="24"/>
          <w:szCs w:val="24"/>
          <w:rFonts w:ascii="MS Mincho" w:hAnsi="MS Mincho" w:eastAsia="MS Mincho" w:cs="MS Mincho" w:hint="eastAsia"/>
        </w:rPr>
        <w:t>‑</w:t>
      </w:r>
      <w:r>
        <w:rPr>
          <w:color w:val="auto"/>
          <w:sz w:val="24"/>
          <w:szCs w:val="24"/>
          <w:rFonts w:ascii="宋体" w:hAnsi="宋体" w:eastAsia="宋体" w:cs="Times New Roman"/>
        </w:rPr>
        <w:t>2014  110(66)kV～220kV智能变电站设计规范</w:t>
      </w:r>
    </w:p>
    <w:p w14:paraId="14F82BE0">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GB/T 32893-2016  10kV及以上电力用户变电站运行管理规范</w:t>
      </w:r>
    </w:p>
    <w:p w14:paraId="0FB7F516">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GB 50052</w:t>
      </w:r>
      <w:r>
        <w:rPr>
          <w:color w:val="auto"/>
          <w:sz w:val="24"/>
          <w:szCs w:val="24"/>
          <w:rFonts w:ascii="MS Mincho" w:hAnsi="MS Mincho" w:eastAsia="MS Mincho" w:cs="MS Mincho" w:hint="eastAsia"/>
        </w:rPr>
        <w:t>‑</w:t>
      </w:r>
      <w:r>
        <w:rPr>
          <w:color w:val="auto"/>
          <w:sz w:val="24"/>
          <w:szCs w:val="24"/>
          <w:rFonts w:ascii="宋体" w:hAnsi="宋体" w:eastAsia="宋体" w:cs="Times New Roman"/>
        </w:rPr>
        <w:t>2009    供配电系统设计规范</w:t>
      </w:r>
    </w:p>
    <w:p w14:paraId="1F421620">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GB 50060</w:t>
      </w:r>
      <w:r>
        <w:rPr>
          <w:color w:val="auto"/>
          <w:sz w:val="24"/>
          <w:szCs w:val="24"/>
          <w:rFonts w:ascii="MS Mincho" w:hAnsi="MS Mincho" w:eastAsia="MS Mincho" w:cs="MS Mincho" w:hint="eastAsia"/>
        </w:rPr>
        <w:t>‑</w:t>
      </w:r>
      <w:r>
        <w:rPr>
          <w:color w:val="auto"/>
          <w:sz w:val="24"/>
          <w:szCs w:val="24"/>
          <w:rFonts w:ascii="宋体" w:hAnsi="宋体" w:eastAsia="宋体" w:cs="Times New Roman"/>
        </w:rPr>
        <w:t>2008    3</w:t>
      </w:r>
      <w:r>
        <w:rPr>
          <w:color w:val="auto"/>
          <w:sz w:val="24"/>
          <w:szCs w:val="24"/>
          <w:rFonts w:ascii="MS Mincho" w:hAnsi="MS Mincho" w:eastAsia="MS Mincho" w:cs="MS Mincho" w:hint="eastAsia"/>
        </w:rPr>
        <w:t>‑</w:t>
      </w:r>
      <w:r>
        <w:rPr>
          <w:color w:val="auto"/>
          <w:sz w:val="24"/>
          <w:szCs w:val="24"/>
          <w:rFonts w:ascii="宋体" w:hAnsi="宋体" w:eastAsia="宋体" w:cs="Times New Roman"/>
        </w:rPr>
        <w:t>110kV高压配电装置设计规范</w:t>
      </w:r>
    </w:p>
    <w:p w14:paraId="455787E4">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GB/T 50062</w:t>
      </w:r>
      <w:r>
        <w:rPr>
          <w:color w:val="auto"/>
          <w:sz w:val="24"/>
          <w:szCs w:val="24"/>
          <w:rFonts w:ascii="MS Mincho" w:hAnsi="MS Mincho" w:eastAsia="MS Mincho" w:cs="MS Mincho" w:hint="eastAsia"/>
        </w:rPr>
        <w:t>‑</w:t>
      </w:r>
      <w:r>
        <w:rPr>
          <w:color w:val="auto"/>
          <w:sz w:val="24"/>
          <w:szCs w:val="24"/>
          <w:rFonts w:ascii="宋体" w:hAnsi="宋体" w:eastAsia="宋体" w:cs="Times New Roman"/>
        </w:rPr>
        <w:t>2008  电力装置的继电保护和自动装置设计规范</w:t>
      </w:r>
    </w:p>
    <w:p w14:paraId="3EE3888B">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GB 50150</w:t>
      </w:r>
      <w:r>
        <w:rPr>
          <w:color w:val="auto"/>
          <w:sz w:val="24"/>
          <w:szCs w:val="24"/>
          <w:rFonts w:ascii="MS Mincho" w:hAnsi="MS Mincho" w:eastAsia="MS Mincho" w:cs="MS Mincho" w:hint="eastAsia"/>
        </w:rPr>
        <w:t>‑</w:t>
      </w:r>
      <w:r>
        <w:rPr>
          <w:color w:val="auto"/>
          <w:sz w:val="24"/>
          <w:szCs w:val="24"/>
          <w:rFonts w:ascii="宋体" w:hAnsi="宋体" w:eastAsia="宋体" w:cs="Times New Roman"/>
        </w:rPr>
        <w:t>2016    电气装置安装工程 电气设备交接试验标准</w:t>
      </w:r>
    </w:p>
    <w:p w14:paraId="39FA1A4F">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GB/T 26860</w:t>
      </w:r>
      <w:r>
        <w:rPr>
          <w:color w:val="auto"/>
          <w:sz w:val="24"/>
          <w:szCs w:val="24"/>
          <w:rFonts w:ascii="MS Mincho" w:hAnsi="MS Mincho" w:eastAsia="MS Mincho" w:cs="MS Mincho" w:hint="eastAsia"/>
        </w:rPr>
        <w:t>‑</w:t>
      </w:r>
      <w:r>
        <w:rPr>
          <w:color w:val="auto"/>
          <w:sz w:val="24"/>
          <w:szCs w:val="24"/>
          <w:rFonts w:ascii="宋体" w:hAnsi="宋体" w:eastAsia="宋体" w:cs="Times New Roman"/>
        </w:rPr>
        <w:t>2011  电力安全工作规程 变电部分</w:t>
      </w:r>
    </w:p>
    <w:p w14:paraId="4AD00C0F">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GB 50065</w:t>
      </w:r>
      <w:r>
        <w:rPr>
          <w:color w:val="auto"/>
          <w:sz w:val="24"/>
          <w:szCs w:val="24"/>
          <w:rFonts w:ascii="MS Mincho" w:hAnsi="MS Mincho" w:eastAsia="MS Mincho" w:cs="MS Mincho" w:hint="eastAsia"/>
        </w:rPr>
        <w:t>‑</w:t>
      </w:r>
      <w:r>
        <w:rPr>
          <w:color w:val="auto"/>
          <w:sz w:val="24"/>
          <w:szCs w:val="24"/>
          <w:rFonts w:ascii="宋体" w:hAnsi="宋体" w:eastAsia="宋体" w:cs="Times New Roman"/>
        </w:rPr>
        <w:t>2011    交流电气装置的接地设计规范</w:t>
      </w:r>
    </w:p>
    <w:p w14:paraId="2A6B809B">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GB/T 13730       地区电网调度自动化系统</w:t>
      </w:r>
    </w:p>
    <w:p w14:paraId="79317606">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GB 14285         继电保护和安全自动装置技术规范</w:t>
      </w:r>
    </w:p>
    <w:p w14:paraId="7989BB76">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GB/T 13729       远动终端设备</w:t>
      </w:r>
    </w:p>
    <w:p w14:paraId="33E9A4AA">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GB/T 25070-2019  信息安全技术网络安全等级保护安全设计技术要求</w:t>
      </w:r>
    </w:p>
    <w:p w14:paraId="255EDEE8">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GBJ115-87        工业电视系统工程设计规范</w:t>
      </w:r>
    </w:p>
    <w:p w14:paraId="439A3941">
      <w:pPr>
        <w:jc w:val="left"/>
        <w:spacing w:after="120" w:before="120" w:line="360" w:lineRule="auto"/>
        <w:rPr>
          <w:color w:val="auto"/>
          <w:sz w:val="24"/>
          <w:szCs w:val="24"/>
          <w:rFonts w:ascii="宋体" w:hAnsi="宋体" w:eastAsia="宋体" w:cs="Times New Roman" w:hint="eastAsia"/>
        </w:rPr>
      </w:pPr>
      <w:r>
        <w:rPr>
          <w:color w:val="auto"/>
          <w:sz w:val="24"/>
          <w:szCs w:val="24"/>
          <w:rFonts w:ascii="宋体" w:hAnsi="宋体" w:eastAsia="宋体" w:cs="Times New Roman"/>
        </w:rPr>
        <w:t xml:space="preserve">   GBJ 52-83        工业与民用供电系统设计规范</w:t>
      </w:r>
    </w:p>
    <w:p w14:paraId="0E935DB0">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GA/T75-94        安全防范工程程序与要求</w:t>
      </w:r>
    </w:p>
    <w:p w14:paraId="467DF211">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GBJ42-81         工业企业通信设计规范</w:t>
      </w:r>
    </w:p>
    <w:p w14:paraId="68BC5ACD">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GB8566-88        计算机软件开发规范</w:t>
      </w:r>
    </w:p>
    <w:p w14:paraId="1CF46881">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GB50174-93       电子计算机机房设计规范</w:t>
      </w:r>
    </w:p>
    <w:p w14:paraId="6759E445">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GB/T 2887-2011   计算机场地通用规范</w:t>
      </w:r>
    </w:p>
    <w:p w14:paraId="7E9708E0">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GB 50348-2004    安全防范工程技术规范</w:t>
      </w:r>
    </w:p>
    <w:p w14:paraId="033C631A">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GA/T 367-2001    视频安防监控系统技术要求</w:t>
      </w:r>
    </w:p>
    <w:p w14:paraId="3EB29B50">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GBJ116-88        火灾自动报警系统设计规范</w:t>
      </w:r>
    </w:p>
    <w:p w14:paraId="64FD0EC0">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GB/T50311-2000   建筑与建筑群综合布线系统工程设计规范</w:t>
      </w:r>
    </w:p>
    <w:p w14:paraId="5B2BBF8E">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GB 50303-2015    建筑电气工程施工质量验收规范</w:t>
      </w:r>
    </w:p>
    <w:p w14:paraId="38608254">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GB50254          电气装置安装工程-低压电器施工及验收规范</w:t>
      </w:r>
    </w:p>
    <w:p w14:paraId="69749EE3">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GB 50171-2012    电气装置安装工程 盘、柜及二次回路接线现场施工</w:t>
      </w:r>
    </w:p>
    <w:p w14:paraId="3A006A85">
      <w:pPr>
        <w:jc w:val="left"/>
        <w:spacing w:after="120" w:before="120" w:line="360" w:lineRule="auto"/>
        <w:ind w:firstLine="2400" w:firstLineChars="1000"/>
        <w:rPr>
          <w:color w:val="auto"/>
          <w:sz w:val="24"/>
          <w:szCs w:val="24"/>
          <w:rFonts w:ascii="宋体" w:hAnsi="宋体" w:eastAsia="宋体" w:cs="Times New Roman" w:hint="eastAsia"/>
        </w:rPr>
      </w:pPr>
      <w:r>
        <w:rPr>
          <w:color w:val="auto"/>
          <w:sz w:val="24"/>
          <w:szCs w:val="24"/>
          <w:rFonts w:ascii="宋体" w:hAnsi="宋体" w:eastAsia="宋体" w:cs="Times New Roman" w:hint="eastAsia"/>
        </w:rPr>
        <w:t>及验收规范</w:t>
      </w:r>
    </w:p>
    <w:p w14:paraId="3D03340D">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DL/T 5103</w:t>
      </w:r>
      <w:r>
        <w:rPr>
          <w:color w:val="auto"/>
          <w:sz w:val="24"/>
          <w:szCs w:val="24"/>
          <w:rFonts w:ascii="MS Mincho" w:hAnsi="MS Mincho" w:eastAsia="MS Mincho" w:cs="MS Mincho" w:hint="eastAsia"/>
        </w:rPr>
        <w:t>‑</w:t>
      </w:r>
      <w:r>
        <w:rPr>
          <w:color w:val="auto"/>
          <w:sz w:val="24"/>
          <w:szCs w:val="24"/>
          <w:rFonts w:ascii="宋体" w:hAnsi="宋体" w:eastAsia="宋体" w:cs="Times New Roman"/>
        </w:rPr>
        <w:t>2012   35kV～220kV无人值班变电站设计技术规程</w:t>
      </w:r>
    </w:p>
    <w:p w14:paraId="3EF0B85B">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DL/T 5430</w:t>
      </w:r>
      <w:r>
        <w:rPr>
          <w:color w:val="auto"/>
          <w:sz w:val="24"/>
          <w:szCs w:val="24"/>
          <w:rFonts w:ascii="MS Mincho" w:hAnsi="MS Mincho" w:eastAsia="MS Mincho" w:cs="MS Mincho" w:hint="eastAsia"/>
        </w:rPr>
        <w:t>‑</w:t>
      </w:r>
      <w:r>
        <w:rPr>
          <w:color w:val="auto"/>
          <w:sz w:val="24"/>
          <w:szCs w:val="24"/>
          <w:rFonts w:ascii="宋体" w:hAnsi="宋体" w:eastAsia="宋体" w:cs="Times New Roman"/>
        </w:rPr>
        <w:t>2023   无人值班变电站远方监控中心设计规程</w:t>
      </w:r>
    </w:p>
    <w:p w14:paraId="33DD4889">
      <w:pPr>
        <w:jc w:val="left"/>
        <w:spacing w:after="120" w:before="120" w:line="360" w:lineRule="auto"/>
        <w:rPr>
          <w:color w:val="auto"/>
          <w:sz w:val="24"/>
          <w:szCs w:val="24"/>
          <w:rFonts w:ascii="宋体" w:hAnsi="宋体" w:eastAsia="宋体" w:cs="Times New Roman" w:hint="eastAsia"/>
        </w:rPr>
      </w:pPr>
      <w:r>
        <w:rPr>
          <w:color w:val="auto"/>
          <w:sz w:val="24"/>
          <w:szCs w:val="24"/>
          <w:rFonts w:ascii="宋体" w:hAnsi="宋体" w:eastAsia="宋体" w:cs="Times New Roman"/>
        </w:rPr>
        <w:t xml:space="preserve">   DL/T 2140</w:t>
      </w:r>
      <w:r>
        <w:rPr>
          <w:color w:val="auto"/>
          <w:sz w:val="24"/>
          <w:szCs w:val="24"/>
          <w:rFonts w:ascii="MS Mincho" w:hAnsi="MS Mincho" w:eastAsia="MS Mincho" w:cs="MS Mincho" w:hint="eastAsia"/>
        </w:rPr>
        <w:t>‑</w:t>
      </w:r>
      <w:r>
        <w:rPr>
          <w:color w:val="auto"/>
          <w:sz w:val="24"/>
          <w:szCs w:val="24"/>
          <w:rFonts w:ascii="宋体" w:hAnsi="宋体" w:eastAsia="宋体" w:cs="Times New Roman"/>
        </w:rPr>
        <w:t>2020   无人值班变电站消防远程集中监控系统技术规范</w:t>
      </w:r>
    </w:p>
    <w:p w14:paraId="4B348291">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DL/T 5222</w:t>
      </w:r>
      <w:r>
        <w:rPr>
          <w:color w:val="auto"/>
          <w:sz w:val="24"/>
          <w:szCs w:val="24"/>
          <w:rFonts w:ascii="MS Mincho" w:hAnsi="MS Mincho" w:eastAsia="MS Mincho" w:cs="MS Mincho" w:hint="eastAsia"/>
        </w:rPr>
        <w:t>‑</w:t>
      </w:r>
      <w:r>
        <w:rPr>
          <w:color w:val="auto"/>
          <w:sz w:val="24"/>
          <w:szCs w:val="24"/>
          <w:rFonts w:ascii="宋体" w:hAnsi="宋体" w:eastAsia="宋体" w:cs="Times New Roman"/>
        </w:rPr>
        <w:t>2005   导体和电器选择设计技术规定</w:t>
      </w:r>
    </w:p>
    <w:p w14:paraId="3881C380">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DL/T 1430</w:t>
      </w:r>
      <w:r>
        <w:rPr>
          <w:color w:val="auto"/>
          <w:sz w:val="24"/>
          <w:szCs w:val="24"/>
          <w:rFonts w:ascii="MS Mincho" w:hAnsi="MS Mincho" w:eastAsia="MS Mincho" w:cs="MS Mincho" w:hint="eastAsia"/>
        </w:rPr>
        <w:t>‑</w:t>
      </w:r>
      <w:r>
        <w:rPr>
          <w:color w:val="auto"/>
          <w:sz w:val="24"/>
          <w:szCs w:val="24"/>
          <w:rFonts w:ascii="宋体" w:hAnsi="宋体" w:eastAsia="宋体" w:cs="Times New Roman"/>
        </w:rPr>
        <w:t xml:space="preserve">2015   变电设备在线监测系统技术导则 </w:t>
      </w:r>
    </w:p>
    <w:p w14:paraId="6535E2A2">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DL/T 1709</w:t>
      </w:r>
      <w:r>
        <w:rPr>
          <w:color w:val="auto"/>
          <w:sz w:val="24"/>
          <w:szCs w:val="24"/>
          <w:rFonts w:ascii="MS Mincho" w:hAnsi="MS Mincho" w:eastAsia="MS Mincho" w:cs="MS Mincho" w:hint="eastAsia"/>
        </w:rPr>
        <w:t>‑</w:t>
      </w:r>
      <w:r>
        <w:rPr>
          <w:color w:val="auto"/>
          <w:sz w:val="24"/>
          <w:szCs w:val="24"/>
          <w:rFonts w:ascii="宋体" w:hAnsi="宋体" w:eastAsia="宋体" w:cs="Times New Roman"/>
        </w:rPr>
        <w:t>2017   变电站机器人巡检系统技术规范</w:t>
      </w:r>
    </w:p>
    <w:p w14:paraId="5F445896">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DL/T 1397        电力设备在线监测装置通用技术条件</w:t>
      </w:r>
    </w:p>
    <w:p w14:paraId="5C07565F">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 xml:space="preserve">DL/T 860         变电站通信网络和系统（IEC61850） </w:t>
      </w:r>
    </w:p>
    <w:p w14:paraId="20895939">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DLT1708-2017     电力系统顺序控制技术规范</w:t>
      </w:r>
    </w:p>
    <w:p w14:paraId="5030A9F6">
      <w:pPr>
        <w:jc w:val="left"/>
        <w:spacing w:after="120" w:before="120" w:line="360" w:lineRule="auto"/>
        <w:rPr>
          <w:color w:val="auto"/>
          <w:sz w:val="24"/>
          <w:szCs w:val="24"/>
          <w:rFonts w:ascii="宋体" w:hAnsi="宋体" w:eastAsia="宋体" w:cs="Times New Roman" w:hint="eastAsia"/>
        </w:rPr>
      </w:pPr>
      <w:r>
        <w:rPr>
          <w:color w:val="auto"/>
          <w:sz w:val="24"/>
          <w:szCs w:val="24"/>
          <w:rFonts w:ascii="宋体" w:hAnsi="宋体" w:eastAsia="宋体" w:cs="Times New Roman"/>
        </w:rPr>
        <w:t xml:space="preserve">   DL476-92         电力系统实时数据通信应用层协议</w:t>
      </w:r>
    </w:p>
    <w:p w14:paraId="75F51C6E">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IEC870-1         远动设备及系统总则一般原理和指导性规范</w:t>
      </w:r>
    </w:p>
    <w:p w14:paraId="57508E89">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IEC870-2         远动设备及系统工作条件环境条件和电源</w:t>
      </w:r>
    </w:p>
    <w:p w14:paraId="4879113C">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IEC870-3         远动设备及系统接口（电气特性）</w:t>
      </w:r>
    </w:p>
    <w:p w14:paraId="6797011D">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IEC870-4         远动设备及系统性能要求</w:t>
      </w:r>
    </w:p>
    <w:p w14:paraId="271298F8">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IEC870-5         远动设备及系统传输规约</w:t>
      </w:r>
    </w:p>
    <w:p w14:paraId="0F8316FF">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IEC870-5-101     远动设备及系统传输规约基本远动配备标准</w:t>
      </w:r>
    </w:p>
    <w:p w14:paraId="3315F141">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IEC870-5-103     远动设备及系统传输规约保护通信配套标准</w:t>
      </w:r>
    </w:p>
    <w:p w14:paraId="23BFF2A1">
      <w:pPr>
        <w:jc w:val="left"/>
        <w:spacing w:after="120" w:before="120" w:line="360" w:lineRule="auto"/>
        <w:ind w:firstLine="360" w:firstLineChars="150"/>
        <w:rPr>
          <w:color w:val="auto"/>
          <w:sz w:val="24"/>
          <w:szCs w:val="24"/>
          <w:rFonts w:ascii="宋体" w:hAnsi="宋体" w:eastAsia="宋体" w:cs="Times New Roman" w:hint="eastAsia"/>
        </w:rPr>
      </w:pPr>
      <w:r>
        <w:rPr>
          <w:color w:val="auto"/>
          <w:sz w:val="24"/>
          <w:szCs w:val="24"/>
          <w:rFonts w:ascii="宋体" w:hAnsi="宋体" w:eastAsia="宋体" w:cs="Times New Roman"/>
        </w:rPr>
        <w:t>IEC 60870-5-101 RTU  通信规约</w:t>
      </w:r>
    </w:p>
    <w:p w14:paraId="27952D95">
      <w:pPr>
        <w:jc w:val="left"/>
        <w:outlineLvl w:val="1"/>
        <w:spacing w:after="120" w:before="120" w:line="360" w:lineRule="auto"/>
        <w:rPr>
          <w:b w:val="1"/>
          <w:color w:val="auto"/>
          <w:sz w:val="28"/>
          <w:bCs/>
          <w:szCs w:val="28"/>
          <w:rFonts w:ascii="宋体" w:hAnsi="宋体" w:eastAsia="宋体"/>
        </w:rPr>
      </w:pPr>
      <w:bookmarkStart w:id="40" w:name="_Toc244176387"/>
      <w:bookmarkStart w:id="41" w:name="_Toc244176118"/>
      <w:r>
        <w:rPr>
          <w:b w:val="1"/>
          <w:color w:val="auto"/>
          <w:sz w:val="28"/>
          <w:bCs/>
          <w:szCs w:val="28"/>
          <w:rFonts w:ascii="宋体" w:hAnsi="宋体" w:eastAsia="宋体" w:hint="eastAsia"/>
        </w:rPr>
        <w:t>3.</w:t>
      </w:r>
      <w:r>
        <w:rPr>
          <w:b w:val="1"/>
          <w:color w:val="auto"/>
          <w:sz w:val="28"/>
          <w:bCs/>
          <w:szCs w:val="28"/>
          <w:rFonts w:ascii="宋体" w:hAnsi="宋体" w:eastAsia="宋体"/>
        </w:rPr>
        <w:t>3</w:t>
      </w:r>
      <w:r>
        <w:rPr>
          <w:b w:val="1"/>
          <w:color w:val="auto"/>
          <w:sz w:val="28"/>
          <w:bCs/>
          <w:szCs w:val="28"/>
          <w:rFonts w:ascii="宋体" w:hAnsi="宋体" w:eastAsia="宋体" w:hint="eastAsia"/>
        </w:rPr>
        <w:t xml:space="preserve"> 总体思路</w:t>
      </w:r>
      <w:bookmarkEnd w:id="40"/>
      <w:bookmarkEnd w:id="41"/>
    </w:p>
    <w:p w14:paraId="271BC763">
      <w:pPr>
        <w:spacing w:line="360" w:lineRule="auto"/>
        <w:rPr>
          <w:color w:val="auto"/>
          <w:sz w:val="24"/>
          <w:szCs w:val="24"/>
          <w:rFonts w:ascii="宋体" w:hAnsi="宋体" w:eastAsia="宋体" w:hint="eastAsia"/>
        </w:rPr>
      </w:pPr>
      <w:r>
        <w:rPr>
          <w:color w:val="auto"/>
          <w:sz w:val="24"/>
          <w:szCs w:val="24"/>
          <w:rFonts w:ascii="宋体" w:hAnsi="宋体" w:eastAsia="宋体" w:cs="Times New Roman" w:hint="eastAsia"/>
        </w:rPr>
        <w:t xml:space="preserve">   </w:t>
      </w:r>
      <w:r>
        <w:rPr>
          <w:color w:val="auto"/>
          <w:sz w:val="24"/>
          <w:szCs w:val="24"/>
          <w:rFonts w:ascii="宋体" w:hAnsi="宋体" w:eastAsia="宋体" w:cs="Times New Roman"/>
        </w:rPr>
        <w:t xml:space="preserve"> </w:t>
      </w:r>
      <w:r>
        <w:rPr>
          <w:color w:val="auto"/>
          <w:sz w:val="24"/>
          <w:szCs w:val="24"/>
          <w:rFonts w:ascii="宋体" w:hAnsi="宋体" w:eastAsia="宋体" w:hint="eastAsia"/>
        </w:rPr>
        <w:t>由于</w:t>
      </w:r>
      <w:r>
        <w:rPr>
          <w:color w:val="auto"/>
          <w:sz w:val="24"/>
          <w:lang w:val="en-US" w:eastAsia="zh-CN"/>
          <w:szCs w:val="24"/>
          <w:rFonts w:ascii="宋体" w:hAnsi="宋体" w:eastAsia="宋体" w:hint="eastAsia"/>
        </w:rPr>
        <w:t>本次招标的</w:t>
      </w:r>
      <w:r>
        <w:rPr>
          <w:color w:val="auto"/>
          <w:sz w:val="24"/>
          <w:szCs w:val="24"/>
          <w:rFonts w:ascii="宋体" w:hAnsi="宋体" w:eastAsia="宋体" w:hint="eastAsia"/>
        </w:rPr>
        <w:t>成都</w:t>
      </w:r>
      <w:r>
        <w:rPr>
          <w:color w:val="auto"/>
          <w:sz w:val="24"/>
          <w:szCs w:val="24"/>
          <w:rFonts w:ascii="宋体" w:hAnsi="宋体" w:eastAsia="宋体"/>
        </w:rPr>
        <w:t>八一骨科</w:t>
      </w:r>
      <w:r>
        <w:rPr>
          <w:color w:val="auto"/>
          <w:sz w:val="24"/>
          <w:szCs w:val="24"/>
          <w:rFonts w:ascii="宋体" w:hAnsi="宋体" w:eastAsia="宋体" w:hint="eastAsia"/>
        </w:rPr>
        <w:t>医院</w:t>
      </w:r>
      <w:r>
        <w:rPr>
          <w:color w:val="auto"/>
          <w:sz w:val="24"/>
          <w:szCs w:val="24"/>
          <w:rFonts w:ascii="宋体" w:hAnsi="宋体" w:eastAsia="宋体"/>
        </w:rPr>
        <w:t>（</w:t>
      </w:r>
      <w:r>
        <w:rPr>
          <w:color w:val="auto"/>
          <w:sz w:val="24"/>
          <w:szCs w:val="24"/>
          <w:rFonts w:ascii="宋体" w:hAnsi="宋体" w:eastAsia="宋体" w:hint="eastAsia"/>
        </w:rPr>
        <w:t>青羊区</w:t>
      </w:r>
      <w:r>
        <w:rPr>
          <w:color w:val="auto"/>
          <w:sz w:val="24"/>
          <w:szCs w:val="24"/>
          <w:rFonts w:ascii="宋体" w:hAnsi="宋体" w:eastAsia="宋体"/>
        </w:rPr>
        <w:t>院区）</w:t>
      </w:r>
      <w:r>
        <w:rPr>
          <w:color w:val="auto"/>
          <w:sz w:val="24"/>
          <w:szCs w:val="24"/>
          <w:rFonts w:ascii="宋体" w:hAnsi="宋体" w:eastAsia="宋体" w:hint="eastAsia"/>
        </w:rPr>
        <w:t>变电站建站时间较长，站所内使用的微机保护装置、电力仪表、交换机等设备经过多年的运行均已经接近使用寿命。保护装置在接近使用寿命后，老化的过程中会引起的误动及拒动，存在重大的安全隐患。所以需要更换站内微机保护装置、仪表及交换机等设备。</w:t>
      </w:r>
    </w:p>
    <w:p w14:paraId="3DD21AD2">
      <w:pPr>
        <w:spacing w:line="360" w:lineRule="auto"/>
        <w:ind w:firstLine="480" w:firstLineChars="200"/>
        <w:rPr>
          <w:color w:val="auto"/>
          <w:sz w:val="24"/>
          <w:szCs w:val="24"/>
          <w:rFonts w:ascii="宋体" w:hAnsi="宋体" w:eastAsia="宋体" w:hint="eastAsia"/>
        </w:rPr>
      </w:pPr>
      <w:r>
        <w:rPr>
          <w:color w:val="auto"/>
          <w:sz w:val="24"/>
          <w:szCs w:val="24"/>
          <w:rFonts w:ascii="宋体" w:hAnsi="宋体" w:eastAsia="宋体" w:hint="eastAsia"/>
        </w:rPr>
        <w:t>前端接入微机</w:t>
      </w:r>
      <w:r>
        <w:rPr>
          <w:color w:val="auto"/>
          <w:sz w:val="24"/>
          <w:szCs w:val="24"/>
          <w:rFonts w:ascii="宋体" w:hAnsi="宋体" w:eastAsia="宋体"/>
        </w:rPr>
        <w:t>保护、</w:t>
      </w:r>
      <w:r>
        <w:rPr>
          <w:color w:val="auto"/>
          <w:sz w:val="24"/>
          <w:szCs w:val="24"/>
          <w:rFonts w:ascii="宋体" w:hAnsi="宋体" w:eastAsia="宋体" w:hint="eastAsia"/>
        </w:rPr>
        <w:t>智能</w:t>
      </w:r>
      <w:r>
        <w:rPr>
          <w:color w:val="auto"/>
          <w:sz w:val="24"/>
          <w:szCs w:val="24"/>
          <w:rFonts w:ascii="宋体" w:hAnsi="宋体" w:eastAsia="宋体"/>
        </w:rPr>
        <w:t>仪表</w:t>
      </w:r>
      <w:r>
        <w:rPr>
          <w:color w:val="auto"/>
          <w:sz w:val="24"/>
          <w:szCs w:val="24"/>
          <w:rFonts w:ascii="宋体" w:hAnsi="宋体" w:eastAsia="宋体" w:hint="eastAsia"/>
        </w:rPr>
        <w:t>、漏电监测</w:t>
      </w:r>
      <w:r>
        <w:rPr>
          <w:color w:val="auto"/>
          <w:sz w:val="24"/>
          <w:szCs w:val="24"/>
          <w:rFonts w:ascii="宋体" w:hAnsi="宋体" w:eastAsia="宋体"/>
        </w:rPr>
        <w:t>、电缆</w:t>
      </w:r>
      <w:r>
        <w:rPr>
          <w:color w:val="auto"/>
          <w:sz w:val="24"/>
          <w:szCs w:val="24"/>
          <w:rFonts w:ascii="宋体" w:hAnsi="宋体" w:eastAsia="宋体" w:hint="eastAsia"/>
        </w:rPr>
        <w:t>测温、</w:t>
      </w:r>
      <w:r>
        <w:rPr>
          <w:color w:val="auto"/>
          <w:sz w:val="24"/>
          <w:szCs w:val="24"/>
          <w:rFonts w:ascii="宋体" w:hAnsi="宋体" w:eastAsia="宋体"/>
        </w:rPr>
        <w:t>配电室环境监测等先进、可靠的</w:t>
      </w:r>
      <w:r>
        <w:rPr>
          <w:color w:val="auto"/>
          <w:sz w:val="24"/>
          <w:szCs w:val="24"/>
          <w:rFonts w:ascii="宋体" w:hAnsi="宋体" w:eastAsia="宋体" w:hint="eastAsia"/>
        </w:rPr>
        <w:t>感知</w:t>
      </w:r>
      <w:r>
        <w:rPr>
          <w:color w:val="auto"/>
          <w:sz w:val="24"/>
          <w:szCs w:val="24"/>
          <w:rFonts w:ascii="宋体" w:hAnsi="宋体" w:eastAsia="宋体"/>
        </w:rPr>
        <w:t>设备，</w:t>
      </w:r>
      <w:r>
        <w:rPr>
          <w:color w:val="auto"/>
          <w:sz w:val="24"/>
          <w:szCs w:val="24"/>
          <w:rFonts w:ascii="宋体" w:hAnsi="宋体" w:eastAsia="宋体" w:hint="eastAsia"/>
        </w:rPr>
        <w:t>自动完成信息采集、测量、控制、保护、计量和监测等基本功能。后端</w:t>
      </w:r>
      <w:r>
        <w:rPr>
          <w:color w:val="auto"/>
          <w:sz w:val="24"/>
          <w:szCs w:val="24"/>
          <w:rFonts w:ascii="宋体" w:hAnsi="宋体" w:eastAsia="宋体"/>
        </w:rPr>
        <w:t>智慧用电运维管理系统</w:t>
      </w:r>
      <w:r>
        <w:rPr>
          <w:color w:val="auto"/>
          <w:sz w:val="24"/>
          <w:szCs w:val="24"/>
          <w:rFonts w:ascii="宋体" w:hAnsi="宋体" w:eastAsia="宋体" w:hint="eastAsia"/>
        </w:rPr>
        <w:t>整合物联网、云计算、大数据处理及电力自动化等领域的前沿理念与技术应用，利用“线上”与“线下”相结合的模式对用户变电站进行全景可视化监控。系统具有24小时不间断电力数据监测和设备实时监控，支持越限</w:t>
      </w:r>
      <w:r>
        <w:rPr>
          <w:color w:val="auto"/>
          <w:sz w:val="24"/>
          <w:szCs w:val="24"/>
          <w:rFonts w:ascii="宋体" w:hAnsi="宋体" w:eastAsia="宋体"/>
        </w:rPr>
        <w:t>告警</w:t>
      </w:r>
      <w:r>
        <w:rPr>
          <w:color w:val="auto"/>
          <w:sz w:val="24"/>
          <w:szCs w:val="24"/>
          <w:rFonts w:ascii="宋体" w:hAnsi="宋体" w:eastAsia="宋体" w:hint="eastAsia"/>
        </w:rPr>
        <w:t>、故障发生时</w:t>
      </w:r>
      <w:r>
        <w:rPr>
          <w:color w:val="auto"/>
          <w:sz w:val="24"/>
          <w:szCs w:val="24"/>
          <w:rFonts w:ascii="宋体" w:hAnsi="宋体" w:eastAsia="宋体"/>
        </w:rPr>
        <w:t>主动推送告警信息</w:t>
      </w:r>
      <w:r>
        <w:rPr>
          <w:color w:val="auto"/>
          <w:sz w:val="24"/>
          <w:szCs w:val="24"/>
          <w:rFonts w:ascii="宋体" w:hAnsi="宋体" w:eastAsia="宋体" w:hint="eastAsia"/>
        </w:rPr>
        <w:t>，电能质量分析、分类分项统计、历史数据查询等功能，并且支持多平台、多终端数据访问，使工作人员全局轻松掌握各站所及监测点的情况，实现了由被动</w:t>
      </w:r>
      <w:r>
        <w:rPr>
          <w:color w:val="auto"/>
          <w:sz w:val="24"/>
          <w:szCs w:val="24"/>
          <w:rFonts w:ascii="宋体" w:hAnsi="宋体" w:eastAsia="宋体"/>
        </w:rPr>
        <w:t>救火式</w:t>
      </w:r>
      <w:r>
        <w:rPr>
          <w:color w:val="auto"/>
          <w:sz w:val="24"/>
          <w:szCs w:val="24"/>
          <w:rFonts w:ascii="宋体" w:hAnsi="宋体" w:eastAsia="宋体" w:hint="eastAsia"/>
        </w:rPr>
        <w:t>运维</w:t>
      </w:r>
      <w:r>
        <w:rPr>
          <w:color w:val="auto"/>
          <w:sz w:val="24"/>
          <w:szCs w:val="24"/>
          <w:rFonts w:ascii="宋体" w:hAnsi="宋体" w:eastAsia="宋体"/>
        </w:rPr>
        <w:t>向主动预警运维的转变</w:t>
      </w:r>
      <w:r>
        <w:rPr>
          <w:color w:val="auto"/>
          <w:sz w:val="24"/>
          <w:szCs w:val="24"/>
          <w:rFonts w:ascii="宋体" w:hAnsi="宋体" w:eastAsia="宋体" w:hint="eastAsia"/>
        </w:rPr>
        <w:t>。保障</w:t>
      </w:r>
      <w:r>
        <w:rPr>
          <w:color w:val="auto"/>
          <w:sz w:val="24"/>
          <w:szCs w:val="24"/>
          <w:rFonts w:ascii="宋体" w:hAnsi="宋体" w:eastAsia="宋体"/>
        </w:rPr>
        <w:t>手术室等重要负荷可靠供电</w:t>
      </w:r>
      <w:r>
        <w:rPr>
          <w:color w:val="auto"/>
          <w:sz w:val="24"/>
          <w:szCs w:val="24"/>
          <w:rFonts w:ascii="宋体" w:hAnsi="宋体" w:eastAsia="宋体" w:hint="eastAsia"/>
        </w:rPr>
        <w:t>，</w:t>
      </w:r>
      <w:r>
        <w:rPr>
          <w:color w:val="auto"/>
          <w:sz w:val="24"/>
          <w:szCs w:val="24"/>
          <w:rFonts w:ascii="宋体" w:hAnsi="宋体" w:eastAsia="宋体"/>
        </w:rPr>
        <w:t>降低突发停电对医疗业务的影响，提升医院配电运维智能化</w:t>
      </w:r>
      <w:r>
        <w:rPr>
          <w:color w:val="auto"/>
          <w:sz w:val="24"/>
          <w:szCs w:val="24"/>
          <w:rFonts w:ascii="宋体" w:hAnsi="宋体" w:eastAsia="宋体" w:hint="eastAsia"/>
        </w:rPr>
        <w:t>管理</w:t>
      </w:r>
      <w:r>
        <w:rPr>
          <w:color w:val="auto"/>
          <w:sz w:val="24"/>
          <w:szCs w:val="24"/>
          <w:rFonts w:ascii="宋体" w:hAnsi="宋体" w:eastAsia="宋体"/>
        </w:rPr>
        <w:t>水平</w:t>
      </w:r>
      <w:r>
        <w:rPr>
          <w:color w:val="auto"/>
          <w:sz w:val="24"/>
          <w:szCs w:val="24"/>
          <w:rFonts w:ascii="宋体" w:hAnsi="宋体" w:eastAsia="宋体" w:hint="eastAsia"/>
        </w:rPr>
        <w:t>，让用户享受到更安全、更经济、更高效的变电站用电服务。</w:t>
      </w:r>
    </w:p>
    <w:p w14:paraId="39A2F4D8">
      <w:pPr>
        <w:jc w:val="left"/>
        <w:outlineLvl w:val="1"/>
        <w:spacing w:after="120" w:before="120" w:line="360" w:lineRule="auto"/>
        <w:rPr>
          <w:b w:val="1"/>
          <w:color w:val="auto"/>
          <w:sz w:val="28"/>
          <w:bCs/>
          <w:szCs w:val="28"/>
          <w:rFonts w:ascii="宋体" w:hAnsi="宋体" w:eastAsia="宋体"/>
        </w:rPr>
      </w:pPr>
      <w:bookmarkStart w:id="42" w:name="_Toc244176119"/>
      <w:bookmarkStart w:id="43" w:name="_Toc244176388"/>
      <w:r>
        <w:rPr>
          <w:b w:val="1"/>
          <w:color w:val="auto"/>
          <w:sz w:val="28"/>
          <w:bCs/>
          <w:szCs w:val="28"/>
          <w:rFonts w:ascii="宋体" w:hAnsi="宋体" w:eastAsia="宋体" w:hint="eastAsia"/>
        </w:rPr>
        <w:t>3.</w:t>
      </w:r>
      <w:r>
        <w:rPr>
          <w:b w:val="1"/>
          <w:color w:val="auto"/>
          <w:sz w:val="28"/>
          <w:bCs/>
          <w:szCs w:val="28"/>
          <w:rFonts w:ascii="宋体" w:hAnsi="宋体" w:eastAsia="宋体"/>
        </w:rPr>
        <w:t>4</w:t>
      </w:r>
      <w:r>
        <w:rPr>
          <w:b w:val="1"/>
          <w:color w:val="auto"/>
          <w:sz w:val="28"/>
          <w:bCs/>
          <w:szCs w:val="28"/>
          <w:rFonts w:ascii="宋体" w:hAnsi="宋体" w:eastAsia="宋体" w:hint="eastAsia"/>
        </w:rPr>
        <w:t xml:space="preserve"> 方案架构</w:t>
      </w:r>
      <w:bookmarkEnd w:id="42"/>
      <w:bookmarkEnd w:id="43"/>
    </w:p>
    <w:p w14:paraId="1416D987">
      <w:pPr>
        <w:spacing w:line="360" w:lineRule="auto"/>
        <w:rPr>
          <w:color w:val="auto"/>
          <w:sz w:val="24"/>
          <w:szCs w:val="24"/>
          <w:rFonts w:ascii="宋体" w:hAnsi="宋体" w:eastAsia="宋体" w:cs="Times New Roman" w:hint="eastAsia"/>
        </w:rPr>
      </w:pPr>
      <w:r>
        <w:rPr>
          <w:color w:val="auto"/>
          <w:sz w:val="24"/>
          <w:szCs w:val="24"/>
          <w:rFonts w:ascii="宋体" w:hAnsi="宋体" w:eastAsia="宋体" w:cs="Times New Roman" w:hint="eastAsia"/>
        </w:rPr>
        <w:t xml:space="preserve">    </w:t>
      </w:r>
      <w:r>
        <w:rPr>
          <w:color w:val="auto"/>
          <w:sz w:val="24"/>
          <w:szCs w:val="24"/>
          <w:rFonts w:ascii="宋体" w:hAnsi="宋体" w:eastAsia="宋体" w:cs="Times New Roman" w:hint="eastAsia"/>
        </w:rPr>
        <w:t xml:space="preserve"> 根据国家电网</w:t>
      </w:r>
      <w:r>
        <w:rPr>
          <w:color w:val="auto"/>
          <w:sz w:val="24"/>
          <w:szCs w:val="24"/>
          <w:rFonts w:ascii="宋体" w:hAnsi="宋体" w:eastAsia="宋体" w:cs="Times New Roman"/>
        </w:rPr>
        <w:t>对</w:t>
      </w:r>
      <w:r>
        <w:rPr>
          <w:color w:val="auto"/>
          <w:sz w:val="24"/>
          <w:szCs w:val="24"/>
          <w:rFonts w:ascii="宋体" w:hAnsi="宋体" w:eastAsia="宋体" w:cs="Times New Roman" w:hint="eastAsia"/>
        </w:rPr>
        <w:t>供配电系统智能化、无人化改造升级的总体要求，遵循</w:t>
      </w:r>
      <w:r>
        <w:rPr>
          <w:color w:val="auto"/>
          <w:sz w:val="24"/>
          <w:szCs w:val="24"/>
          <w:rFonts w:ascii="宋体" w:hAnsi="宋体" w:eastAsia="宋体" w:cs="Times New Roman"/>
        </w:rPr>
        <w:t xml:space="preserve"> “统一运维，分级管理”的基本原则，</w:t>
      </w:r>
      <w:r>
        <w:rPr>
          <w:color w:val="auto"/>
          <w:sz w:val="24"/>
          <w:lang w:val="en-US" w:eastAsia="zh-CN"/>
          <w:szCs w:val="24"/>
          <w:rFonts w:ascii="宋体" w:hAnsi="宋体" w:eastAsia="宋体" w:hint="eastAsia"/>
        </w:rPr>
        <w:t>本次招标的</w:t>
      </w:r>
      <w:r>
        <w:rPr>
          <w:color w:val="auto"/>
          <w:sz w:val="24"/>
          <w:szCs w:val="24"/>
          <w:rFonts w:ascii="宋体" w:hAnsi="宋体" w:eastAsia="宋体" w:hint="eastAsia"/>
        </w:rPr>
        <w:t>系统</w:t>
      </w:r>
      <w:r>
        <w:rPr>
          <w:color w:val="auto"/>
          <w:sz w:val="24"/>
          <w:lang w:val="en-US" w:eastAsia="zh-CN"/>
          <w:szCs w:val="24"/>
          <w:rFonts w:ascii="宋体" w:hAnsi="宋体" w:eastAsia="宋体" w:hint="eastAsia"/>
        </w:rPr>
        <w:t>需</w:t>
      </w:r>
      <w:r>
        <w:rPr>
          <w:color w:val="auto"/>
          <w:sz w:val="24"/>
          <w:szCs w:val="24"/>
          <w:rFonts w:ascii="宋体" w:hAnsi="宋体" w:eastAsia="宋体" w:hint="eastAsia"/>
        </w:rPr>
        <w:t>配置一套智能用电运维管理系统，</w:t>
      </w:r>
      <w:r>
        <w:rPr>
          <w:color w:val="auto"/>
          <w:sz w:val="24"/>
          <w:szCs w:val="24"/>
          <w:rFonts w:ascii="宋体" w:hAnsi="宋体" w:eastAsia="宋体" w:cs="Times New Roman"/>
        </w:rPr>
        <w:t>实现对</w:t>
      </w:r>
      <w:r>
        <w:rPr>
          <w:color w:val="auto"/>
          <w:sz w:val="24"/>
          <w:szCs w:val="24"/>
          <w:rFonts w:ascii="宋体" w:hAnsi="宋体" w:eastAsia="宋体" w:cs="Times New Roman" w:hint="eastAsia"/>
        </w:rPr>
        <w:t>医院供配电系统</w:t>
      </w:r>
      <w:r>
        <w:rPr>
          <w:color w:val="auto"/>
          <w:sz w:val="24"/>
          <w:szCs w:val="24"/>
          <w:rFonts w:ascii="宋体" w:hAnsi="宋体" w:eastAsia="宋体" w:cs="Times New Roman"/>
        </w:rPr>
        <w:t>运行无死角、全流程、差别化、精细化管理，实现从“点末端监控”向“全过程监控”扩展，立足用户价值，打造</w:t>
      </w:r>
      <w:r>
        <w:rPr>
          <w:color w:val="auto"/>
          <w:sz w:val="24"/>
          <w:szCs w:val="24"/>
          <w:rFonts w:ascii="宋体" w:hAnsi="宋体" w:eastAsia="宋体" w:cs="Times New Roman" w:hint="eastAsia"/>
        </w:rPr>
        <w:t>供配电系统</w:t>
      </w:r>
      <w:r>
        <w:rPr>
          <w:color w:val="auto"/>
          <w:sz w:val="24"/>
          <w:szCs w:val="24"/>
          <w:rFonts w:ascii="宋体" w:hAnsi="宋体" w:eastAsia="宋体" w:cs="Times New Roman"/>
        </w:rPr>
        <w:t>一站式服务。</w:t>
      </w:r>
    </w:p>
    <w:p w14:paraId="42600008">
      <w:pPr>
        <w:spacing w:line="360" w:lineRule="auto"/>
        <w:ind w:firstLine="480"/>
        <w:rPr>
          <w:color w:val="auto"/>
          <w:sz w:val="24"/>
          <w:szCs w:val="24"/>
          <w:rFonts w:ascii="宋体" w:hAnsi="宋体" w:eastAsia="宋体" w:cs="Times New Roman" w:hint="eastAsia"/>
        </w:rPr>
      </w:pPr>
      <w:r>
        <w:rPr>
          <w:color w:val="auto"/>
          <w:sz w:val="24"/>
          <w:szCs w:val="24"/>
          <w:rFonts w:ascii="宋体" w:hAnsi="宋体" w:eastAsia="宋体" w:cs="Times New Roman" w:hint="eastAsia"/>
        </w:rPr>
        <w:t>方案架构如下图所示。</w:t>
      </w:r>
    </w:p>
    <w:p w14:paraId="47DE4734">
      <w:pPr>
        <w:spacing w:line="360" w:lineRule="auto"/>
        <w:rPr>
          <w:color w:val="auto"/>
          <w:sz w:val="24"/>
          <w:szCs w:val="24"/>
          <w:rFonts w:ascii="宋体" w:hAnsi="宋体" w:eastAsia="宋体" w:cs="Times New Roman"/>
        </w:rPr>
      </w:pPr>
      <w:r>
        <w:rPr>
          <w:color w:val="auto"/>
        </w:rPr>
        <w:drawing>
          <wp:inline distT="0" distB="0" distL="0" distR="0">
            <wp:extent cx="5273675" cy="3214370"/>
            <wp:effectExtent l="0" t="0" r="0" b="0"/>
            <wp:docPr id="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pic:nvPicPr>
                  <pic:blipFill>
                    <a:blip r:embed="rId16">
                      <a:extLst>
                        <a:ext uri="{28A0092B-C50C-407E-A947-70E740481C1C}">
                          <a14:useLocalDpi xmlns:a14="http://schemas.microsoft.com/office/drawing/2010/main" val="0"/>
                        </a:ext>
                      </a:extLst>
                    </a:blip>
                    <a:srcRect/>
                    <a:stretch>
                      <a:fillRect/>
                    </a:stretch>
                  </pic:blipFill>
                  <pic:spPr>
                    <a:xfrm>
                      <a:off x="0" y="0"/>
                      <a:ext cx="5274000" cy="3214800"/>
                    </a:xfrm>
                    <a:prstGeom prst="rect">
                      <a:avLst/>
                    </a:prstGeom>
                    <a:noFill/>
                    <a:ln w="12700">
                      <a:noFill/>
                    </a:ln>
                  </pic:spPr>
                </pic:pic>
              </a:graphicData>
            </a:graphic>
          </wp:inline>
        </w:drawing>
      </w:r>
    </w:p>
    <w:p w14:paraId="1B4C85A3">
      <w:pPr>
        <w:spacing w:line="360" w:lineRule="auto"/>
        <w:rPr>
          <w:color w:val="auto"/>
          <w:sz w:val="24"/>
          <w:szCs w:val="24"/>
          <w:rFonts w:ascii="宋体" w:hAnsi="宋体" w:eastAsia="宋体" w:cs="Times New Roman" w:hint="eastAsia"/>
        </w:rPr>
      </w:pPr>
    </w:p>
    <w:p w14:paraId="0ECA6326">
      <w:pPr>
        <w:jc w:val="left"/>
        <w:outlineLvl w:val="0"/>
        <w:spacing w:after="120" w:before="120" w:line="360" w:lineRule="auto"/>
        <w:rPr>
          <w:b w:val="1"/>
          <w:color w:val="auto"/>
          <w:sz w:val="30"/>
          <w:bCs/>
          <w:szCs w:val="30"/>
          <w:rFonts w:ascii="宋体" w:hAnsi="宋体" w:eastAsia="宋体" w:hint="eastAsia"/>
        </w:rPr>
      </w:pPr>
      <w:bookmarkStart w:id="44" w:name="_Toc244176120"/>
      <w:bookmarkStart w:id="45" w:name="_Toc244176389"/>
      <w:r>
        <w:rPr>
          <w:b w:val="1"/>
          <w:color w:val="auto"/>
          <w:sz w:val="30"/>
          <w:bCs/>
          <w:szCs w:val="30"/>
          <w:rFonts w:ascii="宋体" w:hAnsi="宋体" w:eastAsia="宋体" w:hint="eastAsia"/>
        </w:rPr>
        <w:t>四、</w:t>
      </w:r>
      <w:r>
        <w:rPr>
          <w:b w:val="1"/>
          <w:color w:val="auto"/>
          <w:sz w:val="30"/>
          <w:bCs/>
          <w:szCs w:val="30"/>
          <w:rFonts w:ascii="宋体" w:hAnsi="宋体" w:eastAsia="宋体"/>
        </w:rPr>
        <w:t>智能用电运维管理系统</w:t>
      </w:r>
      <w:r>
        <w:rPr>
          <w:b w:val="1"/>
          <w:color w:val="auto"/>
          <w:sz w:val="30"/>
          <w:bCs/>
          <w:szCs w:val="30"/>
          <w:rFonts w:ascii="宋体" w:hAnsi="宋体" w:eastAsia="宋体" w:hint="eastAsia"/>
        </w:rPr>
        <w:t>技术要求</w:t>
      </w:r>
      <w:bookmarkEnd w:id="44"/>
      <w:bookmarkEnd w:id="45"/>
    </w:p>
    <w:p w14:paraId="7553BB59">
      <w:pPr>
        <w:jc w:val="left"/>
        <w:outlineLvl w:val="1"/>
        <w:spacing w:after="120" w:before="120" w:line="360" w:lineRule="auto"/>
        <w:rPr>
          <w:b w:val="1"/>
          <w:color w:val="auto"/>
          <w:sz w:val="28"/>
          <w:bCs/>
          <w:szCs w:val="28"/>
          <w:rFonts w:ascii="宋体" w:hAnsi="宋体" w:eastAsia="宋体"/>
        </w:rPr>
      </w:pPr>
      <w:bookmarkStart w:id="46" w:name="_Toc244176121"/>
      <w:bookmarkStart w:id="47" w:name="_Toc244176390"/>
      <w:r>
        <w:rPr>
          <w:b w:val="1"/>
          <w:color w:val="auto"/>
          <w:sz w:val="28"/>
          <w:bCs/>
          <w:szCs w:val="28"/>
          <w:rFonts w:ascii="宋体" w:hAnsi="宋体" w:eastAsia="宋体" w:hint="eastAsia"/>
        </w:rPr>
        <w:t>4.1 电力监控装置</w:t>
      </w:r>
      <w:bookmarkEnd w:id="46"/>
      <w:bookmarkEnd w:id="47"/>
    </w:p>
    <w:p w14:paraId="48F8BEF0">
      <w:pPr>
        <w:jc w:val="left"/>
        <w:outlineLvl w:val="2"/>
        <w:spacing w:after="120" w:before="120" w:line="360" w:lineRule="auto"/>
        <w:rPr>
          <w:b w:val="1"/>
          <w:color w:val="auto"/>
          <w:sz w:val="24"/>
          <w:bCs/>
          <w:szCs w:val="24"/>
          <w:rFonts w:ascii="宋体" w:hAnsi="宋体" w:eastAsia="宋体"/>
        </w:rPr>
      </w:pPr>
      <w:bookmarkStart w:id="48" w:name="_Toc84604138"/>
      <w:bookmarkStart w:id="49" w:name="_Toc135496046"/>
      <w:bookmarkStart w:id="50" w:name="_Toc504724458"/>
      <w:bookmarkStart w:id="51" w:name="_Toc300149486"/>
      <w:bookmarkStart w:id="52" w:name="_Toc135680797"/>
      <w:bookmarkStart w:id="53" w:name="_Toc277436193"/>
      <w:bookmarkStart w:id="54" w:name="_Toc238818747"/>
      <w:bookmarkStart w:id="55" w:name="_Toc84604294"/>
      <w:bookmarkStart w:id="56" w:name="_Toc277530051"/>
      <w:bookmarkStart w:id="57" w:name="_Toc244176122"/>
      <w:bookmarkStart w:id="58" w:name="_Toc244176391"/>
      <w:r>
        <w:rPr>
          <w:b w:val="1"/>
          <w:color w:val="auto"/>
          <w:sz w:val="24"/>
          <w:bCs/>
          <w:szCs w:val="24"/>
          <w:rFonts w:ascii="宋体" w:hAnsi="宋体" w:eastAsia="宋体" w:hint="eastAsia"/>
        </w:rPr>
        <w:t>4</w:t>
      </w:r>
      <w:r>
        <w:rPr>
          <w:b w:val="1"/>
          <w:color w:val="auto"/>
          <w:sz w:val="24"/>
          <w:bCs/>
          <w:szCs w:val="24"/>
          <w:rFonts w:ascii="宋体" w:hAnsi="宋体" w:eastAsia="宋体"/>
        </w:rPr>
        <w:t>.1.1</w:t>
      </w:r>
      <w:bookmarkEnd w:id="48"/>
      <w:bookmarkEnd w:id="49"/>
      <w:bookmarkEnd w:id="50"/>
      <w:bookmarkEnd w:id="51"/>
      <w:bookmarkEnd w:id="52"/>
      <w:bookmarkEnd w:id="53"/>
      <w:bookmarkEnd w:id="54"/>
      <w:bookmarkEnd w:id="55"/>
      <w:bookmarkEnd w:id="56"/>
      <w:r>
        <w:rPr>
          <w:b w:val="1"/>
          <w:color w:val="auto"/>
          <w:sz w:val="24"/>
          <w:bCs/>
          <w:szCs w:val="24"/>
          <w:rFonts w:ascii="宋体" w:hAnsi="宋体" w:eastAsia="宋体" w:hint="eastAsia"/>
        </w:rPr>
        <w:t xml:space="preserve"> 配电箱漏电保护装置</w:t>
      </w:r>
      <w:bookmarkEnd w:id="57"/>
      <w:bookmarkEnd w:id="58"/>
    </w:p>
    <w:p w14:paraId="38972ACC">
      <w:pPr>
        <w:spacing w:line="360" w:lineRule="auto"/>
        <w:ind w:firstLine="480" w:firstLineChars="200"/>
        <w:rPr>
          <w:color w:val="auto"/>
          <w:sz w:val="24"/>
          <w:kern w:val="0"/>
          <w:szCs w:val="24"/>
          <w:rFonts w:ascii="Times New Roman" w:hAnsi="Times New Roman" w:eastAsia="宋体" w:cs="Times New Roman"/>
        </w:rPr>
      </w:pPr>
      <w:r>
        <w:rPr>
          <w:color w:val="auto"/>
          <w:sz w:val="24"/>
          <w:lang w:val="en-US" w:eastAsia="zh-CN"/>
          <w:szCs w:val="24"/>
          <w:rFonts w:ascii="宋体" w:hAnsi="宋体" w:eastAsia="宋体" w:hint="eastAsia"/>
        </w:rPr>
        <w:t>本次招标的</w:t>
      </w:r>
      <w:r>
        <w:rPr>
          <w:color w:val="auto"/>
          <w:sz w:val="24"/>
          <w:szCs w:val="24"/>
          <w:rFonts w:ascii="宋体" w:hAnsi="宋体" w:eastAsia="宋体" w:hint="eastAsia"/>
        </w:rPr>
        <w:t>系统</w:t>
      </w:r>
      <w:r>
        <w:rPr>
          <w:color w:val="auto"/>
          <w:sz w:val="24"/>
          <w:kern w:val="0"/>
          <w:szCs w:val="24"/>
          <w:rFonts w:ascii="Times New Roman" w:hAnsi="Times New Roman" w:eastAsia="宋体" w:cs="Times New Roman"/>
        </w:rPr>
        <w:t>为全院整体改造，需对医院现有老旧配电箱、配电柜进行智能化升级。清单数量为实际改造工程量，技术规格以功能实现为准，不限定具体壳体形式（如塑壳、框架等符合国标的形式均可），但须满足以下功能与性能要求。</w:t>
      </w:r>
    </w:p>
    <w:p w14:paraId="394EF692">
      <w:pPr>
        <w:spacing w:line="360" w:lineRule="auto"/>
        <w:rPr>
          <w:b w:val="1"/>
          <w:color w:val="auto"/>
          <w:sz w:val="24"/>
          <w:kern w:val="0"/>
          <w:szCs w:val="24"/>
          <w:rFonts w:ascii="Times New Roman" w:hAnsi="Times New Roman" w:eastAsia="宋体" w:cs="Times New Roman"/>
        </w:rPr>
      </w:pPr>
      <w:r>
        <w:rPr>
          <w:b w:val="1"/>
          <w:color w:val="auto"/>
          <w:sz w:val="24"/>
          <w:kern w:val="0"/>
          <w:szCs w:val="24"/>
          <w:rFonts w:ascii="Times New Roman" w:hAnsi="Times New Roman" w:eastAsia="宋体" w:cs="Times New Roman"/>
        </w:rPr>
        <w:t>（1）智能单相剩余电流动作继电器 (4G机械款)</w:t>
      </w:r>
    </w:p>
    <w:p w14:paraId="79349D08">
      <w:pPr>
        <w:spacing w:line="360" w:lineRule="auto"/>
        <w:ind w:firstLine="480" w:firstLineChars="20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hint="eastAsia"/>
        </w:rPr>
        <w:t>单相</w:t>
      </w:r>
      <w:r>
        <w:rPr>
          <w:color w:val="auto"/>
          <w:sz w:val="24"/>
          <w:szCs w:val="24"/>
          <w:rFonts w:ascii="Times New Roman" w:hAnsi="Times New Roman" w:eastAsia="宋体" w:cs="Times New Roman"/>
        </w:rPr>
        <w:t>2P智能4G漏电断路器，集成防触电、电参量监测功能，通过4G无线上传运行信息，实现末端单相回路远程监控、故障预警。</w:t>
      </w:r>
      <w:r>
        <w:rPr>
          <w:color w:val="auto"/>
          <w:sz w:val="24"/>
          <w:szCs w:val="24"/>
          <w:rFonts w:ascii="Times New Roman" w:hAnsi="Times New Roman" w:eastAsia="宋体" w:cs="Times New Roman" w:hint="eastAsia"/>
        </w:rPr>
        <w:t>适合病房、照明、插座这类单相回路改造。</w:t>
      </w:r>
    </w:p>
    <w:p w14:paraId="146812ED">
      <w:pPr>
        <w:spacing w:line="360" w:lineRule="auto"/>
        <w:ind w:firstLine="480" w:firstLineChars="200"/>
        <w:rPr>
          <w:color w:val="auto"/>
          <w:sz w:val="24"/>
          <w:kern w:val="0"/>
          <w:szCs w:val="24"/>
          <w:rFonts w:ascii="Times New Roman" w:hAnsi="Times New Roman" w:eastAsia="宋体" w:cs="Times New Roman"/>
        </w:rPr>
      </w:pPr>
      <w:r>
        <w:rPr>
          <w:color w:val="auto"/>
          <w:sz w:val="24"/>
          <w:kern w:val="0"/>
          <w:szCs w:val="24"/>
          <w:rFonts w:ascii="Times New Roman" w:hAnsi="Times New Roman" w:eastAsia="宋体" w:cs="Times New Roman" w:hint="eastAsia"/>
        </w:rPr>
        <w:t>主要功能</w:t>
      </w:r>
      <w:r>
        <w:rPr>
          <w:color w:val="auto"/>
          <w:sz w:val="24"/>
          <w:kern w:val="0"/>
          <w:szCs w:val="24"/>
          <w:rFonts w:ascii="Times New Roman" w:hAnsi="Times New Roman" w:eastAsia="宋体" w:cs="Times New Roman"/>
        </w:rPr>
        <w:t>：</w:t>
      </w:r>
    </w:p>
    <w:p w14:paraId="078C14F8">
      <w:pPr>
        <w:widowControl w:val="1"/>
        <w:jc w:val="left"/>
        <w:spacing w:line="360" w:lineRule="auto"/>
        <w:ind w:firstLine="840" w:firstLineChars="350"/>
        <w:rPr>
          <w:color w:val="auto"/>
          <w:sz w:val="24"/>
          <w:bCs/>
          <w:kern w:val="0"/>
          <w:szCs w:val="24"/>
          <w:rFonts w:ascii="Times New Roman" w:hAnsi="Times New Roman" w:eastAsia="宋体" w:cs="Times New Roman"/>
        </w:rPr>
      </w:pPr>
      <w:r>
        <w:rPr>
          <w:color w:val="auto"/>
          <w:sz w:val="24"/>
          <w:bCs/>
          <w:kern w:val="0"/>
          <w:szCs w:val="24"/>
          <w:rFonts w:ascii="Times New Roman" w:hAnsi="Times New Roman" w:eastAsia="宋体" w:cs="Times New Roman"/>
        </w:rPr>
        <w:t>●合闸前自动检测</w:t>
      </w:r>
    </w:p>
    <w:p w14:paraId="327EADFD">
      <w:pPr>
        <w:widowControl w:val="1"/>
        <w:jc w:val="left"/>
        <w:spacing w:line="360" w:lineRule="auto"/>
        <w:ind w:firstLine="840" w:firstLineChars="350"/>
        <w:rPr>
          <w:color w:val="auto"/>
          <w:sz w:val="24"/>
          <w:bCs/>
          <w:kern w:val="0"/>
          <w:szCs w:val="24"/>
          <w:rFonts w:ascii="Times New Roman" w:hAnsi="Times New Roman" w:eastAsia="宋体" w:cs="Times New Roman"/>
        </w:rPr>
      </w:pPr>
      <w:r>
        <w:rPr>
          <w:color w:val="auto"/>
          <w:sz w:val="24"/>
          <w:bCs/>
          <w:kern w:val="0"/>
          <w:szCs w:val="24"/>
          <w:rFonts w:ascii="Times New Roman" w:hAnsi="Times New Roman" w:eastAsia="宋体" w:cs="Times New Roman"/>
        </w:rPr>
        <w:t>●智能漏电识别保护</w:t>
      </w:r>
    </w:p>
    <w:p w14:paraId="7FDCDA2C">
      <w:pPr>
        <w:spacing w:line="360" w:lineRule="auto"/>
        <w:ind w:firstLine="840" w:firstLineChars="350"/>
        <w:rPr>
          <w:color w:val="auto"/>
          <w:sz w:val="24"/>
          <w:bCs/>
          <w:kern w:val="0"/>
          <w:szCs w:val="24"/>
          <w:rFonts w:ascii="Times New Roman" w:hAnsi="Times New Roman" w:eastAsia="宋体" w:cs="Times New Roman"/>
        </w:rPr>
      </w:pPr>
      <w:r>
        <w:rPr>
          <w:color w:val="auto"/>
          <w:sz w:val="24"/>
          <w:bCs/>
          <w:kern w:val="0"/>
          <w:szCs w:val="24"/>
          <w:rFonts w:ascii="Times New Roman" w:hAnsi="Times New Roman" w:eastAsia="宋体" w:cs="Times New Roman"/>
        </w:rPr>
        <w:t xml:space="preserve">●过压保护 </w:t>
      </w:r>
    </w:p>
    <w:p w14:paraId="70A58A8F">
      <w:pPr>
        <w:spacing w:line="360" w:lineRule="auto"/>
        <w:ind w:firstLine="960" w:firstLineChars="400"/>
        <w:rPr>
          <w:color w:val="auto"/>
          <w:sz w:val="24"/>
          <w:bCs/>
          <w:kern w:val="0"/>
          <w:szCs w:val="24"/>
          <w:rFonts w:ascii="Times New Roman" w:hAnsi="Times New Roman" w:eastAsia="宋体" w:cs="Times New Roman"/>
        </w:rPr>
      </w:pPr>
      <w:r>
        <w:rPr>
          <w:color w:val="auto"/>
          <w:sz w:val="24"/>
          <w:bCs/>
          <w:kern w:val="0"/>
          <w:szCs w:val="24"/>
          <w:rFonts w:ascii="Times New Roman" w:hAnsi="Times New Roman" w:eastAsia="宋体" w:cs="Times New Roman"/>
        </w:rPr>
        <w:t>●零线断开保护</w:t>
      </w:r>
    </w:p>
    <w:p w14:paraId="305CAA28">
      <w:pPr>
        <w:spacing w:line="360" w:lineRule="auto"/>
        <w:ind w:firstLine="840" w:firstLineChars="350"/>
        <w:rPr>
          <w:color w:val="auto"/>
          <w:sz w:val="24"/>
          <w:bCs/>
          <w:kern w:val="0"/>
          <w:szCs w:val="24"/>
          <w:rFonts w:ascii="Times New Roman" w:hAnsi="Times New Roman" w:eastAsia="宋体" w:cs="Times New Roman"/>
        </w:rPr>
      </w:pPr>
      <w:r>
        <w:rPr>
          <w:color w:val="auto"/>
          <w:sz w:val="24"/>
          <w:bCs/>
          <w:kern w:val="0"/>
          <w:szCs w:val="24"/>
          <w:rFonts w:ascii="Times New Roman" w:hAnsi="Times New Roman" w:eastAsia="宋体" w:cs="Times New Roman"/>
        </w:rPr>
        <w:t xml:space="preserve">●欠压保护 </w:t>
      </w:r>
    </w:p>
    <w:p w14:paraId="74022ECB">
      <w:pPr>
        <w:spacing w:line="360" w:lineRule="auto"/>
        <w:ind w:firstLine="840" w:firstLineChars="350"/>
        <w:rPr>
          <w:color w:val="auto"/>
          <w:sz w:val="24"/>
          <w:bCs/>
          <w:kern w:val="0"/>
          <w:szCs w:val="24"/>
          <w:rFonts w:ascii="Times New Roman" w:hAnsi="Times New Roman" w:eastAsia="宋体" w:cs="Times New Roman"/>
        </w:rPr>
      </w:pPr>
      <w:r>
        <w:rPr>
          <w:color w:val="auto"/>
          <w:sz w:val="24"/>
          <w:bCs/>
          <w:kern w:val="0"/>
          <w:szCs w:val="24"/>
          <w:rFonts w:ascii="Times New Roman" w:hAnsi="Times New Roman" w:eastAsia="宋体" w:cs="Times New Roman"/>
        </w:rPr>
        <w:t>●断电时自动断开</w:t>
      </w:r>
    </w:p>
    <w:p w14:paraId="7042F07C">
      <w:pPr>
        <w:spacing w:line="360" w:lineRule="auto"/>
        <w:ind w:firstLine="840" w:firstLineChars="350"/>
        <w:rPr>
          <w:color w:val="auto"/>
          <w:sz w:val="24"/>
          <w:bCs/>
          <w:kern w:val="0"/>
          <w:szCs w:val="24"/>
          <w:rFonts w:ascii="Times New Roman" w:hAnsi="Times New Roman" w:eastAsia="宋体" w:cs="Times New Roman"/>
        </w:rPr>
      </w:pPr>
      <w:r>
        <w:rPr>
          <w:color w:val="auto"/>
          <w:sz w:val="24"/>
          <w:bCs/>
          <w:kern w:val="0"/>
          <w:szCs w:val="24"/>
          <w:rFonts w:ascii="Times New Roman" w:hAnsi="Times New Roman" w:eastAsia="宋体" w:cs="Times New Roman"/>
        </w:rPr>
        <w:t xml:space="preserve">●过流保护 </w:t>
      </w:r>
    </w:p>
    <w:p w14:paraId="45E1D49F">
      <w:pPr>
        <w:spacing w:line="360" w:lineRule="auto"/>
        <w:ind w:firstLine="840" w:firstLineChars="350"/>
        <w:rPr>
          <w:color w:val="auto"/>
          <w:sz w:val="24"/>
          <w:bCs/>
          <w:kern w:val="0"/>
          <w:szCs w:val="24"/>
          <w:rFonts w:ascii="Times New Roman" w:hAnsi="Times New Roman" w:eastAsia="宋体" w:cs="Times New Roman"/>
        </w:rPr>
      </w:pPr>
      <w:r>
        <w:rPr>
          <w:color w:val="auto"/>
          <w:sz w:val="24"/>
          <w:bCs/>
          <w:kern w:val="0"/>
          <w:szCs w:val="24"/>
          <w:rFonts w:ascii="Times New Roman" w:hAnsi="Times New Roman" w:eastAsia="宋体" w:cs="Times New Roman"/>
        </w:rPr>
        <w:t>●防雷性能保护</w:t>
      </w:r>
    </w:p>
    <w:p w14:paraId="2A93EE2A">
      <w:pPr>
        <w:spacing w:line="360" w:lineRule="auto"/>
        <w:ind w:firstLine="840" w:firstLineChars="350"/>
        <w:rPr>
          <w:color w:val="auto"/>
          <w:sz w:val="24"/>
          <w:bCs/>
          <w:kern w:val="0"/>
          <w:szCs w:val="24"/>
          <w:rFonts w:ascii="Times New Roman" w:hAnsi="Times New Roman" w:eastAsia="宋体" w:cs="Times New Roman"/>
        </w:rPr>
      </w:pPr>
      <w:r>
        <w:rPr>
          <w:color w:val="auto"/>
          <w:sz w:val="24"/>
          <w:bCs/>
          <w:kern w:val="0"/>
          <w:szCs w:val="24"/>
          <w:rFonts w:ascii="Times New Roman" w:hAnsi="Times New Roman" w:eastAsia="宋体" w:cs="Times New Roman"/>
        </w:rPr>
        <w:t xml:space="preserve">●短路保护 </w:t>
      </w:r>
    </w:p>
    <w:p w14:paraId="7E9E486A">
      <w:pPr>
        <w:spacing w:line="360" w:lineRule="auto"/>
        <w:ind w:firstLine="840" w:firstLineChars="350"/>
        <w:rPr>
          <w:color w:val="auto"/>
          <w:sz w:val="24"/>
          <w:bCs/>
          <w:kern w:val="0"/>
          <w:szCs w:val="24"/>
          <w:rFonts w:ascii="Times New Roman" w:hAnsi="Times New Roman" w:eastAsia="宋体" w:cs="Times New Roman"/>
        </w:rPr>
      </w:pPr>
      <w:r>
        <w:rPr>
          <w:color w:val="auto"/>
          <w:sz w:val="24"/>
          <w:bCs/>
          <w:kern w:val="0"/>
          <w:szCs w:val="24"/>
          <w:rFonts w:ascii="Times New Roman" w:hAnsi="Times New Roman" w:eastAsia="宋体" w:cs="Times New Roman"/>
        </w:rPr>
        <w:t>●保护参数可调</w:t>
      </w:r>
    </w:p>
    <w:p w14:paraId="3CB1CDA7">
      <w:pPr>
        <w:spacing w:line="360" w:lineRule="auto"/>
        <w:ind w:firstLine="840" w:firstLineChars="350"/>
        <w:rPr>
          <w:color w:val="auto"/>
          <w:sz w:val="24"/>
          <w:bCs/>
          <w:kern w:val="0"/>
          <w:szCs w:val="24"/>
          <w:rFonts w:ascii="Times New Roman" w:hAnsi="Times New Roman" w:eastAsia="宋体" w:cs="Times New Roman"/>
        </w:rPr>
      </w:pPr>
      <w:r>
        <w:rPr>
          <w:color w:val="auto"/>
          <w:sz w:val="24"/>
          <w:bCs/>
          <w:kern w:val="0"/>
          <w:szCs w:val="24"/>
          <w:rFonts w:ascii="Times New Roman" w:hAnsi="Times New Roman" w:eastAsia="宋体" w:cs="Times New Roman"/>
        </w:rPr>
        <w:t>●4G通讯功能</w:t>
      </w:r>
    </w:p>
    <w:p w14:paraId="76ED3832">
      <w:pPr>
        <w:spacing w:line="360" w:lineRule="auto"/>
        <w:ind w:firstLine="840" w:firstLineChars="350"/>
        <w:rPr>
          <w:color w:val="auto"/>
          <w:sz w:val="24"/>
          <w:bCs/>
          <w:kern w:val="0"/>
          <w:szCs w:val="24"/>
          <w:rFonts w:ascii="Times New Roman" w:hAnsi="Times New Roman" w:eastAsia="宋体" w:cs="Times New Roman"/>
        </w:rPr>
      </w:pPr>
      <w:r>
        <w:rPr>
          <w:color w:val="auto"/>
          <w:sz w:val="24"/>
          <w:bCs/>
          <w:kern w:val="0"/>
          <w:szCs w:val="24"/>
          <w:rFonts w:ascii="Times New Roman" w:hAnsi="Times New Roman" w:eastAsia="宋体" w:cs="Times New Roman"/>
        </w:rPr>
        <w:t>●温控检测功能</w:t>
      </w:r>
    </w:p>
    <w:p w14:paraId="6D6F0EF5">
      <w:pPr>
        <w:spacing w:line="360" w:lineRule="auto"/>
        <w:ind w:firstLine="840" w:firstLineChars="350"/>
        <w:rPr>
          <w:color w:val="auto"/>
          <w:sz w:val="24"/>
          <w:kern w:val="0"/>
          <w:szCs w:val="24"/>
          <w:rFonts w:ascii="Times New Roman" w:hAnsi="Times New Roman" w:eastAsia="宋体" w:cs="Times New Roman"/>
        </w:rPr>
      </w:pPr>
      <w:r>
        <w:rPr>
          <w:color w:val="auto"/>
          <w:sz w:val="24"/>
          <w:bCs/>
          <w:kern w:val="0"/>
          <w:szCs w:val="24"/>
          <w:rFonts w:ascii="Times New Roman" w:hAnsi="Times New Roman" w:eastAsia="宋体" w:cs="Times New Roman"/>
        </w:rPr>
        <w:t>● 预防浸水防触电</w:t>
      </w:r>
    </w:p>
    <w:p w14:paraId="370325F8">
      <w:pPr>
        <w:spacing w:line="360" w:lineRule="auto"/>
        <w:rPr>
          <w:b w:val="1"/>
          <w:color w:val="auto"/>
          <w:sz w:val="24"/>
          <w:kern w:val="0"/>
          <w:szCs w:val="24"/>
          <w:rFonts w:ascii="Times New Roman" w:hAnsi="Times New Roman" w:eastAsia="宋体" w:cs="Times New Roman"/>
        </w:rPr>
      </w:pPr>
      <w:r>
        <w:rPr>
          <w:b w:val="1"/>
          <w:color w:val="auto"/>
          <w:sz w:val="24"/>
          <w:szCs w:val="24"/>
          <w:rFonts w:ascii="Times New Roman" w:hAnsi="Times New Roman" w:eastAsia="宋体" w:cs="Times New Roman"/>
        </w:rPr>
        <w:t>（2）智能三相剩余电流动作继电器</w:t>
      </w:r>
      <w:r>
        <w:rPr>
          <w:b w:val="1"/>
          <w:color w:val="auto"/>
          <w:sz w:val="24"/>
          <w:kern w:val="0"/>
          <w:szCs w:val="24"/>
          <w:rFonts w:ascii="Times New Roman" w:hAnsi="Times New Roman" w:eastAsia="宋体" w:cs="Times New Roman"/>
        </w:rPr>
        <w:t>(4G机械款)：</w:t>
      </w:r>
    </w:p>
    <w:p w14:paraId="096F4A20">
      <w:pPr>
        <w:spacing w:line="360" w:lineRule="auto"/>
        <w:ind w:firstLine="360" w:firstLineChars="15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hint="eastAsia"/>
        </w:rPr>
        <w:t>该产品是一体式智能漏电断路器，开关和智能采集模块集成在一起，</w:t>
      </w:r>
      <w:r>
        <w:rPr>
          <w:color w:val="auto"/>
          <w:sz w:val="24"/>
          <w:szCs w:val="24"/>
          <w:rFonts w:ascii="Times New Roman" w:hAnsi="Times New Roman" w:eastAsia="宋体" w:cs="Times New Roman"/>
        </w:rPr>
        <w:t>4P三相四线，可以直接分断主回路</w:t>
      </w:r>
      <w:r>
        <w:rPr>
          <w:color w:val="auto"/>
          <w:sz w:val="24"/>
          <w:szCs w:val="24"/>
          <w:rFonts w:ascii="Times New Roman" w:hAnsi="Times New Roman" w:eastAsia="宋体" w:cs="Times New Roman" w:hint="eastAsia"/>
        </w:rPr>
        <w:t>。</w:t>
      </w:r>
    </w:p>
    <w:p w14:paraId="2B3F7306">
      <w:pPr>
        <w:widowControl w:val="1"/>
        <w:jc w:val="left"/>
        <w:spacing w:line="360" w:lineRule="auto"/>
        <w:ind w:firstLine="360" w:firstLineChars="15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hint="eastAsia"/>
        </w:rPr>
        <w:t>主要功能：</w:t>
      </w:r>
    </w:p>
    <w:p w14:paraId="4425F979">
      <w:pPr>
        <w:widowControl w:val="1"/>
        <w:jc w:val="left"/>
        <w:spacing w:line="360" w:lineRule="auto"/>
        <w:ind w:firstLine="840" w:firstLineChars="350"/>
        <w:rPr>
          <w:color w:val="auto"/>
          <w:sz w:val="24"/>
          <w:bCs/>
          <w:kern w:val="0"/>
          <w:szCs w:val="24"/>
          <w:rFonts w:ascii="Times New Roman" w:hAnsi="Times New Roman" w:eastAsia="宋体" w:cs="Times New Roman"/>
        </w:rPr>
      </w:pPr>
      <w:r>
        <w:rPr>
          <w:color w:val="auto"/>
          <w:sz w:val="24"/>
          <w:bCs/>
          <w:kern w:val="0"/>
          <w:szCs w:val="24"/>
          <w:rFonts w:ascii="Times New Roman" w:hAnsi="Times New Roman" w:eastAsia="宋体" w:cs="Times New Roman"/>
        </w:rPr>
        <w:t>● 合闸前自动检测</w:t>
      </w:r>
    </w:p>
    <w:p w14:paraId="62816CB8">
      <w:pPr>
        <w:widowControl w:val="1"/>
        <w:jc w:val="left"/>
        <w:spacing w:line="360" w:lineRule="auto"/>
        <w:ind w:firstLine="840" w:firstLineChars="350"/>
        <w:rPr>
          <w:color w:val="auto"/>
          <w:sz w:val="24"/>
          <w:bCs/>
          <w:kern w:val="0"/>
          <w:szCs w:val="24"/>
          <w:rFonts w:ascii="Times New Roman" w:hAnsi="Times New Roman" w:eastAsia="宋体" w:cs="Times New Roman"/>
        </w:rPr>
      </w:pPr>
      <w:r>
        <w:rPr>
          <w:color w:val="auto"/>
          <w:sz w:val="24"/>
          <w:bCs/>
          <w:kern w:val="0"/>
          <w:szCs w:val="24"/>
          <w:rFonts w:ascii="Times New Roman" w:hAnsi="Times New Roman" w:eastAsia="宋体" w:cs="Times New Roman"/>
        </w:rPr>
        <w:t>● 智能漏电识别保护</w:t>
      </w:r>
    </w:p>
    <w:p w14:paraId="139CFD7C">
      <w:pPr>
        <w:widowControl w:val="1"/>
        <w:jc w:val="left"/>
        <w:spacing w:line="360" w:lineRule="auto"/>
        <w:ind w:firstLine="840" w:firstLineChars="350"/>
        <w:rPr>
          <w:color w:val="auto"/>
          <w:sz w:val="24"/>
          <w:bCs/>
          <w:kern w:val="0"/>
          <w:szCs w:val="24"/>
          <w:rFonts w:ascii="Times New Roman" w:hAnsi="Times New Roman" w:eastAsia="宋体" w:cs="Times New Roman"/>
        </w:rPr>
      </w:pPr>
      <w:r>
        <w:rPr>
          <w:color w:val="auto"/>
          <w:sz w:val="24"/>
          <w:bCs/>
          <w:kern w:val="0"/>
          <w:szCs w:val="24"/>
          <w:rFonts w:ascii="Times New Roman" w:hAnsi="Times New Roman" w:eastAsia="宋体" w:cs="Times New Roman"/>
        </w:rPr>
        <w:t xml:space="preserve">● 过压保护 </w:t>
      </w:r>
    </w:p>
    <w:p w14:paraId="2D13D281">
      <w:pPr>
        <w:widowControl w:val="1"/>
        <w:jc w:val="left"/>
        <w:spacing w:line="360" w:lineRule="auto"/>
        <w:ind w:firstLine="840" w:firstLineChars="350"/>
        <w:rPr>
          <w:color w:val="auto"/>
          <w:sz w:val="24"/>
          <w:bCs/>
          <w:kern w:val="0"/>
          <w:szCs w:val="24"/>
          <w:rFonts w:ascii="Times New Roman" w:hAnsi="Times New Roman" w:eastAsia="宋体" w:cs="Times New Roman"/>
        </w:rPr>
      </w:pPr>
      <w:r>
        <w:rPr>
          <w:color w:val="auto"/>
          <w:sz w:val="24"/>
          <w:bCs/>
          <w:kern w:val="0"/>
          <w:szCs w:val="24"/>
          <w:rFonts w:ascii="Times New Roman" w:hAnsi="Times New Roman" w:eastAsia="宋体" w:cs="Times New Roman"/>
        </w:rPr>
        <w:t>● 零线断开保护</w:t>
      </w:r>
    </w:p>
    <w:p w14:paraId="6F9176B8">
      <w:pPr>
        <w:widowControl w:val="1"/>
        <w:jc w:val="left"/>
        <w:spacing w:line="360" w:lineRule="auto"/>
        <w:ind w:firstLine="840" w:firstLineChars="350"/>
        <w:rPr>
          <w:color w:val="auto"/>
          <w:sz w:val="24"/>
          <w:bCs/>
          <w:kern w:val="0"/>
          <w:szCs w:val="24"/>
          <w:rFonts w:ascii="Times New Roman" w:hAnsi="Times New Roman" w:eastAsia="宋体" w:cs="Times New Roman"/>
        </w:rPr>
      </w:pPr>
      <w:r>
        <w:rPr>
          <w:color w:val="auto"/>
          <w:sz w:val="24"/>
          <w:bCs/>
          <w:kern w:val="0"/>
          <w:szCs w:val="24"/>
          <w:rFonts w:ascii="Times New Roman" w:hAnsi="Times New Roman" w:eastAsia="宋体" w:cs="Times New Roman"/>
        </w:rPr>
        <w:t xml:space="preserve">● 欠压保护 </w:t>
      </w:r>
    </w:p>
    <w:p w14:paraId="0209581E">
      <w:pPr>
        <w:widowControl w:val="1"/>
        <w:jc w:val="left"/>
        <w:spacing w:line="360" w:lineRule="auto"/>
        <w:ind w:firstLine="840" w:firstLineChars="350"/>
        <w:rPr>
          <w:color w:val="auto"/>
          <w:sz w:val="24"/>
          <w:bCs/>
          <w:kern w:val="0"/>
          <w:szCs w:val="24"/>
          <w:rFonts w:ascii="Times New Roman" w:hAnsi="Times New Roman" w:eastAsia="宋体" w:cs="Times New Roman"/>
        </w:rPr>
      </w:pPr>
      <w:r>
        <w:rPr>
          <w:color w:val="auto"/>
          <w:sz w:val="24"/>
          <w:bCs/>
          <w:kern w:val="0"/>
          <w:szCs w:val="24"/>
          <w:rFonts w:ascii="Times New Roman" w:hAnsi="Times New Roman" w:eastAsia="宋体" w:cs="Times New Roman"/>
        </w:rPr>
        <w:t>● 断电时自动断开</w:t>
      </w:r>
    </w:p>
    <w:p w14:paraId="2282342B">
      <w:pPr>
        <w:widowControl w:val="1"/>
        <w:jc w:val="left"/>
        <w:spacing w:line="360" w:lineRule="auto"/>
        <w:ind w:firstLine="840" w:firstLineChars="350"/>
        <w:rPr>
          <w:color w:val="auto"/>
          <w:sz w:val="24"/>
          <w:bCs/>
          <w:kern w:val="0"/>
          <w:szCs w:val="24"/>
          <w:rFonts w:ascii="Times New Roman" w:hAnsi="Times New Roman" w:eastAsia="宋体" w:cs="Times New Roman"/>
        </w:rPr>
      </w:pPr>
      <w:r>
        <w:rPr>
          <w:color w:val="auto"/>
          <w:sz w:val="24"/>
          <w:bCs/>
          <w:kern w:val="0"/>
          <w:szCs w:val="24"/>
          <w:rFonts w:ascii="Times New Roman" w:hAnsi="Times New Roman" w:eastAsia="宋体" w:cs="Times New Roman"/>
        </w:rPr>
        <w:t xml:space="preserve">● 过流保护 </w:t>
      </w:r>
    </w:p>
    <w:p w14:paraId="4E35C957">
      <w:pPr>
        <w:widowControl w:val="1"/>
        <w:jc w:val="left"/>
        <w:spacing w:line="360" w:lineRule="auto"/>
        <w:ind w:firstLine="840" w:firstLineChars="350"/>
        <w:rPr>
          <w:color w:val="auto"/>
          <w:sz w:val="24"/>
          <w:bCs/>
          <w:kern w:val="0"/>
          <w:szCs w:val="24"/>
          <w:rFonts w:ascii="Times New Roman" w:hAnsi="Times New Roman" w:eastAsia="宋体" w:cs="Times New Roman"/>
        </w:rPr>
      </w:pPr>
      <w:r>
        <w:rPr>
          <w:color w:val="auto"/>
          <w:sz w:val="24"/>
          <w:bCs/>
          <w:kern w:val="0"/>
          <w:szCs w:val="24"/>
          <w:rFonts w:ascii="Times New Roman" w:hAnsi="Times New Roman" w:eastAsia="宋体" w:cs="Times New Roman"/>
        </w:rPr>
        <w:t>● 防雷性能保护</w:t>
      </w:r>
    </w:p>
    <w:p w14:paraId="5DFFC44B">
      <w:pPr>
        <w:widowControl w:val="1"/>
        <w:jc w:val="left"/>
        <w:spacing w:line="360" w:lineRule="auto"/>
        <w:ind w:firstLine="840" w:firstLineChars="350"/>
        <w:rPr>
          <w:color w:val="auto"/>
          <w:sz w:val="24"/>
          <w:bCs/>
          <w:kern w:val="0"/>
          <w:szCs w:val="24"/>
          <w:rFonts w:ascii="Times New Roman" w:hAnsi="Times New Roman" w:eastAsia="宋体" w:cs="Times New Roman"/>
        </w:rPr>
      </w:pPr>
      <w:r>
        <w:rPr>
          <w:color w:val="auto"/>
          <w:sz w:val="24"/>
          <w:bCs/>
          <w:kern w:val="0"/>
          <w:szCs w:val="24"/>
          <w:rFonts w:ascii="Times New Roman" w:hAnsi="Times New Roman" w:eastAsia="宋体" w:cs="Times New Roman"/>
        </w:rPr>
        <w:t>● 短路保护</w:t>
      </w:r>
    </w:p>
    <w:p w14:paraId="4AFA4B29">
      <w:pPr>
        <w:widowControl w:val="1"/>
        <w:jc w:val="left"/>
        <w:spacing w:line="360" w:lineRule="auto"/>
        <w:ind w:firstLine="840" w:firstLineChars="350"/>
        <w:rPr>
          <w:color w:val="auto"/>
          <w:sz w:val="24"/>
          <w:bCs/>
          <w:kern w:val="0"/>
          <w:szCs w:val="24"/>
          <w:rFonts w:ascii="Times New Roman" w:hAnsi="Times New Roman" w:eastAsia="宋体" w:cs="Times New Roman"/>
        </w:rPr>
      </w:pPr>
      <w:r>
        <w:rPr>
          <w:color w:val="auto"/>
          <w:sz w:val="24"/>
          <w:bCs/>
          <w:kern w:val="0"/>
          <w:szCs w:val="24"/>
          <w:rFonts w:ascii="Times New Roman" w:hAnsi="Times New Roman" w:eastAsia="宋体" w:cs="Times New Roman"/>
        </w:rPr>
        <w:t>● 保护参数可调</w:t>
      </w:r>
    </w:p>
    <w:p w14:paraId="5DC15CD3">
      <w:pPr>
        <w:widowControl w:val="1"/>
        <w:jc w:val="left"/>
        <w:spacing w:line="360" w:lineRule="auto"/>
        <w:ind w:firstLine="840" w:firstLineChars="350"/>
        <w:rPr>
          <w:color w:val="auto"/>
          <w:sz w:val="24"/>
          <w:bCs/>
          <w:kern w:val="0"/>
          <w:szCs w:val="24"/>
          <w:rFonts w:ascii="Times New Roman" w:hAnsi="Times New Roman" w:eastAsia="宋体" w:cs="Times New Roman"/>
        </w:rPr>
      </w:pPr>
      <w:r>
        <w:rPr>
          <w:color w:val="auto"/>
          <w:sz w:val="24"/>
          <w:bCs/>
          <w:kern w:val="0"/>
          <w:szCs w:val="24"/>
          <w:rFonts w:ascii="Times New Roman" w:hAnsi="Times New Roman" w:eastAsia="宋体" w:cs="Times New Roman"/>
        </w:rPr>
        <w:t>● 4G通讯功能</w:t>
      </w:r>
    </w:p>
    <w:p w14:paraId="16A93DE1">
      <w:pPr>
        <w:widowControl w:val="1"/>
        <w:jc w:val="left"/>
        <w:spacing w:line="360" w:lineRule="auto"/>
        <w:ind w:firstLine="840" w:firstLineChars="350"/>
        <w:rPr>
          <w:color w:val="auto"/>
          <w:sz w:val="24"/>
          <w:bCs/>
          <w:kern w:val="0"/>
          <w:szCs w:val="24"/>
          <w:rFonts w:ascii="Times New Roman" w:hAnsi="Times New Roman" w:eastAsia="宋体" w:cs="Times New Roman"/>
        </w:rPr>
      </w:pPr>
      <w:r>
        <w:rPr>
          <w:color w:val="auto"/>
          <w:sz w:val="24"/>
          <w:bCs/>
          <w:kern w:val="0"/>
          <w:szCs w:val="24"/>
          <w:rFonts w:ascii="Times New Roman" w:hAnsi="Times New Roman" w:eastAsia="宋体" w:cs="Times New Roman"/>
        </w:rPr>
        <w:t>● 温控检测功能</w:t>
      </w:r>
    </w:p>
    <w:p w14:paraId="66D48629">
      <w:pPr>
        <w:widowControl w:val="1"/>
        <w:jc w:val="left"/>
        <w:spacing w:line="360" w:lineRule="auto"/>
        <w:ind w:firstLine="840" w:firstLineChars="350"/>
        <w:rPr>
          <w:color w:val="auto"/>
          <w:sz w:val="24"/>
          <w:szCs w:val="24"/>
          <w:rFonts w:ascii="Times New Roman" w:hAnsi="Times New Roman" w:eastAsia="宋体" w:cs="Times New Roman"/>
        </w:rPr>
      </w:pPr>
      <w:r>
        <w:rPr>
          <w:color w:val="auto"/>
          <w:sz w:val="24"/>
          <w:bCs/>
          <w:kern w:val="0"/>
          <w:szCs w:val="24"/>
          <w:rFonts w:ascii="Times New Roman" w:hAnsi="Times New Roman" w:eastAsia="宋体" w:cs="Times New Roman"/>
        </w:rPr>
        <w:t>● 预防浸水防触电</w:t>
      </w:r>
    </w:p>
    <w:p w14:paraId="022BAFA9">
      <w:pPr>
        <w:widowControl w:val="1"/>
        <w:jc w:val="left"/>
        <w:spacing w:line="360" w:lineRule="auto"/>
        <w:rPr>
          <w:b w:val="1"/>
          <w:color w:val="auto"/>
          <w:sz w:val="24"/>
          <w:kern w:val="0"/>
          <w:szCs w:val="24"/>
          <w:rFonts w:ascii="Times New Roman" w:hAnsi="Times New Roman" w:eastAsia="宋体" w:cs="Times New Roman"/>
        </w:rPr>
      </w:pPr>
      <w:r>
        <w:rPr>
          <w:b w:val="1"/>
          <w:color w:val="auto"/>
          <w:sz w:val="24"/>
          <w:kern w:val="0"/>
          <w:szCs w:val="24"/>
          <w:rFonts w:ascii="Times New Roman" w:hAnsi="Times New Roman" w:eastAsia="宋体" w:cs="Times New Roman" w:hint="eastAsia"/>
        </w:rPr>
        <w:t>（3）</w:t>
      </w:r>
      <w:r>
        <w:rPr>
          <w:b w:val="1"/>
          <w:color w:val="auto"/>
          <w:sz w:val="24"/>
          <w:kern w:val="0"/>
          <w:szCs w:val="24"/>
          <w:rFonts w:ascii="Times New Roman" w:hAnsi="Times New Roman" w:eastAsia="宋体" w:cs="Times New Roman"/>
        </w:rPr>
        <w:t>智能三相塑壳断路器（4G版本）</w:t>
      </w:r>
    </w:p>
    <w:p w14:paraId="24CBFEC5">
      <w:pPr>
        <w:spacing w:line="360" w:lineRule="auto"/>
        <w:ind w:firstLine="480" w:firstLineChars="20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hint="eastAsia"/>
        </w:rPr>
        <w:t>塑壳壳架，电流规格更大（</w:t>
      </w:r>
      <w:r>
        <w:rPr>
          <w:color w:val="auto"/>
          <w:sz w:val="24"/>
          <w:szCs w:val="24"/>
          <w:rFonts w:ascii="Times New Roman" w:hAnsi="Times New Roman" w:eastAsia="宋体" w:cs="Times New Roman"/>
        </w:rPr>
        <w:t>125~630A），带外置4G天线，</w:t>
      </w:r>
      <w:r>
        <w:rPr>
          <w:color w:val="auto"/>
          <w:sz w:val="24"/>
          <w:szCs w:val="24"/>
          <w:rFonts w:ascii="Times New Roman" w:hAnsi="Times New Roman" w:eastAsia="宋体" w:cs="Times New Roman" w:hint="eastAsia"/>
        </w:rPr>
        <w:t>集成漏电与电</w:t>
      </w:r>
      <w:r>
        <w:rPr>
          <w:color w:val="auto"/>
          <w:sz w:val="24"/>
          <w:szCs w:val="24"/>
          <w:rFonts w:ascii="Times New Roman" w:hAnsi="Times New Roman" w:eastAsia="宋体" w:cs="Times New Roman"/>
        </w:rPr>
        <w:t>参量监测，依托4G无线传输，实现回路状态远程监控、故障主动上送，适用于医院配电室主回路、大容量三相回路改造大容量三相回路智能化改造。</w:t>
      </w:r>
    </w:p>
    <w:p w14:paraId="39060F9F">
      <w:pPr>
        <w:spacing w:line="360" w:lineRule="auto"/>
        <w:ind w:firstLine="480" w:firstLineChars="20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主要功能：</w:t>
      </w:r>
    </w:p>
    <w:p w14:paraId="3892142A">
      <w:pPr>
        <w:spacing w:line="360" w:lineRule="auto"/>
        <w:ind w:firstLine="720" w:firstLineChars="30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 合闸前自动检测每个功能是否正常</w:t>
      </w:r>
    </w:p>
    <w:p w14:paraId="571C5B16">
      <w:pPr>
        <w:spacing w:line="360" w:lineRule="auto"/>
        <w:ind w:firstLine="720" w:firstLineChars="30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 过压保护</w:t>
      </w:r>
    </w:p>
    <w:p w14:paraId="75DF2DEF">
      <w:pPr>
        <w:spacing w:line="360" w:lineRule="auto"/>
        <w:ind w:firstLine="720" w:firstLineChars="30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 欠压保护</w:t>
      </w:r>
    </w:p>
    <w:p w14:paraId="0DF22CF4">
      <w:pPr>
        <w:spacing w:line="360" w:lineRule="auto"/>
        <w:ind w:firstLine="720" w:firstLineChars="30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 过流保护</w:t>
      </w:r>
    </w:p>
    <w:p w14:paraId="40B381D6">
      <w:pPr>
        <w:spacing w:line="360" w:lineRule="auto"/>
        <w:ind w:firstLine="720" w:firstLineChars="30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 短路保护</w:t>
      </w:r>
    </w:p>
    <w:p w14:paraId="01894718">
      <w:pPr>
        <w:spacing w:line="360" w:lineRule="auto"/>
        <w:ind w:firstLine="720" w:firstLineChars="30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 智能漏电识别保护</w:t>
      </w:r>
    </w:p>
    <w:p w14:paraId="0A791B65">
      <w:pPr>
        <w:spacing w:line="360" w:lineRule="auto"/>
        <w:ind w:firstLine="720" w:firstLineChars="30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 零线断开保护</w:t>
      </w:r>
    </w:p>
    <w:p w14:paraId="631CA398">
      <w:pPr>
        <w:spacing w:line="360" w:lineRule="auto"/>
        <w:ind w:firstLine="720" w:firstLineChars="30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 断电时自动断开</w:t>
      </w:r>
    </w:p>
    <w:p w14:paraId="5CBCE282">
      <w:pPr>
        <w:spacing w:line="360" w:lineRule="auto"/>
        <w:ind w:firstLine="720" w:firstLineChars="30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 防雷性能保护</w:t>
      </w:r>
    </w:p>
    <w:p w14:paraId="09D4C71E">
      <w:pPr>
        <w:spacing w:line="360" w:lineRule="auto"/>
        <w:ind w:firstLine="720" w:firstLineChars="30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 保护参数可调</w:t>
      </w:r>
    </w:p>
    <w:p w14:paraId="3EE821A5">
      <w:pPr>
        <w:jc w:val="left"/>
        <w:outlineLvl w:val="2"/>
        <w:spacing w:after="120" w:before="120" w:line="360" w:lineRule="auto"/>
        <w:rPr>
          <w:b w:val="1"/>
          <w:color w:val="auto"/>
          <w:sz w:val="24"/>
          <w:bCs/>
          <w:szCs w:val="24"/>
          <w:rFonts w:ascii="宋体" w:hAnsi="宋体" w:eastAsia="宋体"/>
        </w:rPr>
      </w:pPr>
      <w:bookmarkStart w:id="59" w:name="_Toc244176123"/>
      <w:bookmarkStart w:id="60" w:name="_Toc244176392"/>
      <w:r>
        <w:rPr>
          <w:b w:val="1"/>
          <w:color w:val="auto"/>
          <w:sz w:val="24"/>
          <w:bCs/>
          <w:szCs w:val="24"/>
          <w:rFonts w:ascii="宋体" w:hAnsi="宋体" w:eastAsia="宋体" w:hint="eastAsia"/>
        </w:rPr>
        <w:t>4</w:t>
      </w:r>
      <w:r>
        <w:rPr>
          <w:b w:val="1"/>
          <w:color w:val="auto"/>
          <w:sz w:val="24"/>
          <w:bCs/>
          <w:szCs w:val="24"/>
          <w:rFonts w:ascii="宋体" w:hAnsi="宋体" w:eastAsia="宋体"/>
        </w:rPr>
        <w:t xml:space="preserve">.1.2 </w:t>
      </w:r>
      <w:r>
        <w:rPr>
          <w:b w:val="1"/>
          <w:color w:val="auto"/>
          <w:sz w:val="24"/>
          <w:bCs/>
          <w:szCs w:val="24"/>
          <w:rFonts w:ascii="宋体" w:hAnsi="宋体" w:eastAsia="宋体" w:hint="eastAsia"/>
        </w:rPr>
        <w:t>低压抽屉</w:t>
      </w:r>
      <w:r>
        <w:rPr>
          <w:b w:val="1"/>
          <w:color w:val="auto"/>
          <w:sz w:val="24"/>
          <w:bCs/>
          <w:szCs w:val="24"/>
          <w:rFonts w:ascii="宋体" w:hAnsi="宋体" w:eastAsia="宋体"/>
        </w:rPr>
        <w:t>柜</w:t>
      </w:r>
      <w:r>
        <w:rPr>
          <w:b w:val="1"/>
          <w:color w:val="auto"/>
          <w:sz w:val="24"/>
          <w:bCs/>
          <w:szCs w:val="24"/>
          <w:rFonts w:ascii="宋体" w:hAnsi="宋体" w:eastAsia="宋体" w:hint="eastAsia"/>
        </w:rPr>
        <w:t>智能</w:t>
      </w:r>
      <w:r>
        <w:rPr>
          <w:b w:val="1"/>
          <w:color w:val="auto"/>
          <w:sz w:val="24"/>
          <w:bCs/>
          <w:szCs w:val="24"/>
          <w:rFonts w:ascii="宋体" w:hAnsi="宋体" w:eastAsia="宋体"/>
        </w:rPr>
        <w:t>监测</w:t>
      </w:r>
      <w:r>
        <w:rPr>
          <w:b w:val="1"/>
          <w:color w:val="auto"/>
          <w:sz w:val="24"/>
          <w:bCs/>
          <w:szCs w:val="24"/>
          <w:rFonts w:ascii="宋体" w:hAnsi="宋体" w:eastAsia="宋体" w:hint="eastAsia"/>
        </w:rPr>
        <w:t>仪表</w:t>
      </w:r>
      <w:bookmarkEnd w:id="59"/>
      <w:bookmarkEnd w:id="60"/>
    </w:p>
    <w:p w14:paraId="5C890CD3">
      <w:pPr>
        <w:spacing w:line="360" w:lineRule="auto"/>
        <w:ind w:firstLine="480" w:firstLineChars="200"/>
        <w:rPr>
          <w:color w:val="auto"/>
          <w:sz w:val="24"/>
          <w:szCs w:val="24"/>
          <w:rFonts w:ascii="Times New Roman" w:hAnsi="Times New Roman" w:eastAsia="宋体" w:cs="Times New Roman"/>
        </w:rPr>
      </w:pPr>
      <w:r>
        <w:rPr>
          <w:color w:val="auto"/>
          <w:sz w:val="24"/>
          <w:lang w:val="en-US" w:eastAsia="zh-CN"/>
          <w:szCs w:val="24"/>
          <w:rFonts w:ascii="宋体" w:hAnsi="宋体" w:eastAsia="宋体" w:hint="eastAsia"/>
        </w:rPr>
        <w:t>本次招标的</w:t>
      </w:r>
      <w:r>
        <w:rPr>
          <w:color w:val="auto"/>
          <w:sz w:val="24"/>
          <w:szCs w:val="24"/>
          <w:rFonts w:ascii="宋体" w:hAnsi="宋体" w:eastAsia="宋体" w:hint="eastAsia"/>
        </w:rPr>
        <w:t>系统</w:t>
      </w:r>
      <w:r>
        <w:rPr>
          <w:color w:val="auto"/>
          <w:sz w:val="24"/>
          <w:szCs w:val="24"/>
          <w:rFonts w:ascii="Times New Roman" w:hAnsi="Times New Roman" w:eastAsia="宋体" w:cs="Times New Roman" w:hint="eastAsia"/>
        </w:rPr>
        <w:t>低压抽屉柜改造选用多功能智能测控仪表，将原有低压开关柜指针式单相电流表、电压表替换为多功能智能测控仪表，仪表通过 RS485 总线接入通讯管理机，实现电压、电流、功率因数等电气量遥测数据上传配电自动化主站，满足</w:t>
      </w:r>
      <w:r>
        <w:rPr>
          <w:color w:val="auto"/>
          <w:sz w:val="24"/>
          <w:szCs w:val="24"/>
          <w:rFonts w:ascii="Times New Roman" w:hAnsi="Times New Roman" w:eastAsia="宋体" w:cs="Times New Roman"/>
        </w:rPr>
        <w:t>智能用电运维管理系统</w:t>
      </w:r>
      <w:r>
        <w:rPr>
          <w:color w:val="auto"/>
          <w:sz w:val="24"/>
          <w:szCs w:val="24"/>
          <w:rFonts w:ascii="Times New Roman" w:hAnsi="Times New Roman" w:eastAsia="宋体" w:cs="Times New Roman" w:hint="eastAsia"/>
        </w:rPr>
        <w:t>采集要求。</w:t>
      </w:r>
    </w:p>
    <w:p w14:paraId="447B028C">
      <w:pPr>
        <w:spacing w:line="360" w:lineRule="auto"/>
        <w:rPr>
          <w:b w:val="1"/>
          <w:color w:val="auto"/>
          <w:sz w:val="24"/>
          <w:bCs/>
          <w:szCs w:val="24"/>
          <w:rFonts w:ascii="Times New Roman" w:hAnsi="Times New Roman" w:eastAsia="宋体" w:cs="Times New Roman" w:hint="eastAsia"/>
        </w:rPr>
      </w:pPr>
      <w:r>
        <w:rPr>
          <w:b w:val="1"/>
          <w:color w:val="auto"/>
          <w:sz w:val="24"/>
          <w:bCs/>
          <w:szCs w:val="24"/>
          <w:rFonts w:ascii="Times New Roman" w:hAnsi="Times New Roman" w:eastAsia="宋体" w:cs="Times New Roman" w:hint="eastAsia"/>
        </w:rPr>
        <w:t>1、应用环境条件</w:t>
      </w:r>
    </w:p>
    <w:p w14:paraId="0E939F3B">
      <w:pPr>
        <w:spacing w:line="360" w:lineRule="auto"/>
        <w:ind w:firstLine="480" w:firstLineChars="200"/>
        <w:rPr>
          <w:color w:val="auto"/>
          <w:sz w:val="24"/>
          <w:szCs w:val="24"/>
          <w:rFonts w:ascii="Times New Roman" w:hAnsi="Times New Roman" w:eastAsia="宋体" w:cs="Times New Roman" w:hint="eastAsia"/>
        </w:rPr>
      </w:pPr>
      <w:r>
        <w:rPr>
          <w:color w:val="auto"/>
          <w:sz w:val="24"/>
          <w:szCs w:val="24"/>
          <w:rFonts w:ascii="Times New Roman" w:hAnsi="Times New Roman" w:eastAsia="宋体" w:cs="Times New Roman" w:hint="eastAsia"/>
        </w:rPr>
        <w:t>环境温度：-10℃～+55℃</w:t>
      </w:r>
    </w:p>
    <w:p w14:paraId="5050443E">
      <w:pPr>
        <w:spacing w:line="360" w:lineRule="auto"/>
        <w:ind w:firstLine="480" w:firstLineChars="200"/>
        <w:rPr>
          <w:color w:val="auto"/>
          <w:sz w:val="24"/>
          <w:szCs w:val="24"/>
          <w:rFonts w:ascii="Times New Roman" w:hAnsi="Times New Roman" w:eastAsia="宋体" w:cs="Times New Roman" w:hint="eastAsia"/>
        </w:rPr>
      </w:pPr>
      <w:r>
        <w:rPr>
          <w:color w:val="auto"/>
          <w:sz w:val="24"/>
          <w:szCs w:val="24"/>
          <w:rFonts w:ascii="Times New Roman" w:hAnsi="Times New Roman" w:eastAsia="宋体" w:cs="Times New Roman" w:hint="eastAsia"/>
        </w:rPr>
        <w:t>相对湿度：5%～95%，无凝露</w:t>
      </w:r>
    </w:p>
    <w:p w14:paraId="3256E600">
      <w:pPr>
        <w:spacing w:line="360" w:lineRule="auto"/>
        <w:ind w:firstLine="480" w:firstLineChars="200"/>
        <w:rPr>
          <w:color w:val="auto"/>
          <w:sz w:val="24"/>
          <w:szCs w:val="24"/>
          <w:rFonts w:ascii="Times New Roman" w:hAnsi="Times New Roman" w:eastAsia="宋体" w:cs="Times New Roman" w:hint="eastAsia"/>
        </w:rPr>
      </w:pPr>
      <w:r>
        <w:rPr>
          <w:color w:val="auto"/>
          <w:sz w:val="24"/>
          <w:szCs w:val="24"/>
          <w:rFonts w:ascii="Times New Roman" w:hAnsi="Times New Roman" w:eastAsia="宋体" w:cs="Times New Roman" w:hint="eastAsia"/>
        </w:rPr>
        <w:t>安装地点：组屏安装</w:t>
      </w:r>
    </w:p>
    <w:p w14:paraId="4AC261EB">
      <w:pPr>
        <w:spacing w:line="360" w:lineRule="auto"/>
        <w:ind w:firstLine="480" w:firstLineChars="200"/>
        <w:rPr>
          <w:color w:val="auto"/>
          <w:sz w:val="24"/>
          <w:szCs w:val="24"/>
          <w:rFonts w:ascii="Times New Roman" w:hAnsi="Times New Roman" w:eastAsia="宋体" w:cs="Times New Roman" w:hint="eastAsia"/>
        </w:rPr>
      </w:pPr>
      <w:r>
        <w:rPr>
          <w:color w:val="auto"/>
          <w:sz w:val="24"/>
          <w:szCs w:val="24"/>
          <w:rFonts w:ascii="Times New Roman" w:hAnsi="Times New Roman" w:eastAsia="宋体" w:cs="Times New Roman" w:hint="eastAsia"/>
        </w:rPr>
        <w:t>工作电源：AC220V（可兼容交直流供电）</w:t>
      </w:r>
    </w:p>
    <w:p w14:paraId="6FDCABE7">
      <w:pPr>
        <w:spacing w:line="360" w:lineRule="auto"/>
        <w:ind w:firstLine="480" w:firstLineChars="200"/>
        <w:rPr>
          <w:color w:val="auto"/>
          <w:sz w:val="24"/>
          <w:szCs w:val="24"/>
          <w:rFonts w:ascii="Times New Roman" w:hAnsi="Times New Roman" w:eastAsia="宋体" w:cs="Times New Roman" w:hint="eastAsia"/>
        </w:rPr>
      </w:pPr>
      <w:r>
        <w:rPr>
          <w:color w:val="auto"/>
          <w:sz w:val="24"/>
          <w:szCs w:val="24"/>
          <w:rFonts w:ascii="Times New Roman" w:hAnsi="Times New Roman" w:eastAsia="宋体" w:cs="Times New Roman" w:hint="eastAsia"/>
        </w:rPr>
        <w:t>振动：满足开关柜正常运行振动要求</w:t>
      </w:r>
    </w:p>
    <w:p w14:paraId="5587ED12">
      <w:pPr>
        <w:spacing w:line="360" w:lineRule="auto"/>
        <w:rPr>
          <w:b w:val="1"/>
          <w:color w:val="auto"/>
          <w:sz w:val="24"/>
          <w:bCs/>
          <w:szCs w:val="24"/>
          <w:rFonts w:ascii="Times New Roman" w:hAnsi="Times New Roman" w:eastAsia="宋体" w:cs="Times New Roman"/>
        </w:rPr>
      </w:pPr>
      <w:r>
        <w:rPr>
          <w:b w:val="1"/>
          <w:color w:val="auto"/>
          <w:sz w:val="24"/>
          <w:bCs/>
          <w:szCs w:val="24"/>
          <w:rFonts w:ascii="Times New Roman" w:hAnsi="Times New Roman" w:eastAsia="宋体" w:cs="Times New Roman" w:hint="eastAsia"/>
        </w:rPr>
        <w:t>2、</w:t>
      </w:r>
      <w:r>
        <w:rPr>
          <w:b w:val="1"/>
          <w:color w:val="auto"/>
          <w:sz w:val="24"/>
          <w:bCs/>
          <w:szCs w:val="24"/>
          <w:rFonts w:ascii="Times New Roman" w:hAnsi="Times New Roman" w:eastAsia="宋体" w:cs="Times New Roman"/>
        </w:rPr>
        <w:t>功能要求</w:t>
      </w:r>
    </w:p>
    <w:p w14:paraId="5A9EA8C9">
      <w:pPr>
        <w:spacing w:line="360" w:lineRule="auto"/>
        <w:rPr>
          <w:color w:val="auto"/>
          <w:sz w:val="24"/>
          <w:szCs w:val="24"/>
          <w:rFonts w:ascii="Times New Roman" w:hAnsi="Times New Roman" w:eastAsia="宋体" w:cs="Times New Roman"/>
        </w:rPr>
      </w:pPr>
      <w:r>
        <w:rPr>
          <w:color w:val="auto"/>
          <w:sz w:val="24"/>
          <w:szCs w:val="24"/>
          <w:rFonts w:ascii="Times New Roman" w:hAnsi="Times New Roman" w:eastAsia="宋体" w:cs="Times New Roman" w:hint="eastAsia"/>
        </w:rPr>
        <w:t>（1）</w:t>
      </w:r>
      <w:r>
        <w:rPr>
          <w:color w:val="auto"/>
          <w:sz w:val="24"/>
          <w:szCs w:val="24"/>
          <w:rFonts w:ascii="Times New Roman" w:hAnsi="Times New Roman" w:eastAsia="宋体" w:cs="Times New Roman"/>
        </w:rPr>
        <w:t>基本测量与显示功能 仪表为三相多功能测控仪表，采用高性能微处理器及数字信号处理技术，具备三相电压、三相电流、有功功率、无功功率、视在功率、功率因数、频率等电气参数测量及就地显示功能，可直接替代常规指针式测量仪表、电力变送器等装置。</w:t>
      </w:r>
    </w:p>
    <w:p w14:paraId="13BE1611">
      <w:pPr>
        <w:spacing w:line="360" w:lineRule="auto"/>
        <w:rPr>
          <w:color w:val="auto"/>
          <w:sz w:val="24"/>
          <w:szCs w:val="24"/>
          <w:rFonts w:ascii="Times New Roman" w:hAnsi="Times New Roman" w:eastAsia="宋体" w:cs="Times New Roman"/>
        </w:rPr>
      </w:pPr>
      <w:r>
        <w:rPr>
          <w:color w:val="auto"/>
          <w:sz w:val="24"/>
          <w:szCs w:val="24"/>
          <w:rFonts w:ascii="Times New Roman" w:hAnsi="Times New Roman" w:eastAsia="宋体" w:cs="Times New Roman" w:hint="eastAsia"/>
        </w:rPr>
        <w:t>（2）</w:t>
      </w:r>
      <w:r>
        <w:rPr>
          <w:color w:val="auto"/>
          <w:sz w:val="24"/>
          <w:szCs w:val="24"/>
          <w:rFonts w:ascii="Times New Roman" w:hAnsi="Times New Roman" w:eastAsia="宋体" w:cs="Times New Roman"/>
        </w:rPr>
        <w:t>电能计量功能</w:t>
      </w:r>
    </w:p>
    <w:p w14:paraId="7E6144FE">
      <w:pPr>
        <w:pStyle w:val="56"/>
        <w:numPr>
          <w:ilvl w:val="0"/>
          <w:numId w:val="5"/>
        </w:numPr>
        <w:spacing w:line="360" w:lineRule="auto"/>
        <w:ind w:firstLineChars="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支持双向四象限有功电能、无功电能累计；</w:t>
      </w:r>
    </w:p>
    <w:p w14:paraId="74A0B4AA">
      <w:pPr>
        <w:pStyle w:val="56"/>
        <w:numPr>
          <w:ilvl w:val="0"/>
          <w:numId w:val="5"/>
        </w:numPr>
        <w:spacing w:line="360" w:lineRule="auto"/>
        <w:ind w:firstLineChars="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具备尖、峰、谷、平分时电能计量功能；</w:t>
      </w:r>
    </w:p>
    <w:p w14:paraId="543FC947">
      <w:pPr>
        <w:pStyle w:val="56"/>
        <w:numPr>
          <w:ilvl w:val="0"/>
          <w:numId w:val="5"/>
        </w:numPr>
        <w:spacing w:line="360" w:lineRule="auto"/>
        <w:ind w:firstLineChars="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内置最大值、最小值记录、需量测量功能；</w:t>
      </w:r>
    </w:p>
    <w:p w14:paraId="2E199BCF">
      <w:pPr>
        <w:pStyle w:val="56"/>
        <w:numPr>
          <w:ilvl w:val="0"/>
          <w:numId w:val="5"/>
        </w:numPr>
        <w:spacing w:line="360" w:lineRule="auto"/>
        <w:ind w:firstLineChars="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配合上位监控软件，可实现能耗统计、负荷趋势分析、自动抄表、电量报表生成，可提供关口级计量数据。</w:t>
      </w:r>
    </w:p>
    <w:p w14:paraId="277B2712">
      <w:pPr>
        <w:spacing w:line="360" w:lineRule="auto"/>
        <w:rPr>
          <w:color w:val="auto"/>
          <w:sz w:val="24"/>
          <w:szCs w:val="24"/>
          <w:rFonts w:ascii="Times New Roman" w:hAnsi="Times New Roman" w:eastAsia="宋体" w:cs="Times New Roman"/>
        </w:rPr>
      </w:pPr>
      <w:r>
        <w:rPr>
          <w:color w:val="auto"/>
          <w:sz w:val="24"/>
          <w:szCs w:val="24"/>
          <w:rFonts w:ascii="Times New Roman" w:hAnsi="Times New Roman" w:eastAsia="宋体" w:cs="Times New Roman" w:hint="eastAsia"/>
        </w:rPr>
        <w:t>（3）</w:t>
      </w:r>
      <w:r>
        <w:rPr>
          <w:color w:val="auto"/>
          <w:sz w:val="24"/>
          <w:szCs w:val="24"/>
          <w:rFonts w:ascii="Times New Roman" w:hAnsi="Times New Roman" w:eastAsia="宋体" w:cs="Times New Roman"/>
        </w:rPr>
        <w:t>开关量输入输出（I/O）及告警功能 配置灵活丰富的 DI/DO 接口，支持遥信采集、遥控输出；具备故障告警功能，可满足分布式 RTU 使用需求。</w:t>
      </w:r>
    </w:p>
    <w:p w14:paraId="3A96B355">
      <w:pPr>
        <w:spacing w:line="360" w:lineRule="auto"/>
        <w:rPr>
          <w:color w:val="auto"/>
          <w:sz w:val="24"/>
          <w:szCs w:val="24"/>
          <w:rFonts w:ascii="Times New Roman" w:hAnsi="Times New Roman" w:eastAsia="宋体" w:cs="Times New Roman"/>
        </w:rPr>
      </w:pPr>
      <w:r>
        <w:rPr>
          <w:color w:val="auto"/>
          <w:sz w:val="24"/>
          <w:szCs w:val="24"/>
          <w:rFonts w:ascii="Times New Roman" w:hAnsi="Times New Roman" w:eastAsia="宋体" w:cs="Times New Roman" w:hint="eastAsia"/>
        </w:rPr>
        <w:t>（4）</w:t>
      </w:r>
      <w:r>
        <w:rPr>
          <w:color w:val="auto"/>
          <w:sz w:val="24"/>
          <w:szCs w:val="24"/>
          <w:rFonts w:ascii="Times New Roman" w:hAnsi="Times New Roman" w:eastAsia="宋体" w:cs="Times New Roman"/>
        </w:rPr>
        <w:t>通信及远动功能（核心）</w:t>
      </w:r>
    </w:p>
    <w:p w14:paraId="426A9CE5">
      <w:pPr>
        <w:pStyle w:val="56"/>
        <w:numPr>
          <w:ilvl w:val="0"/>
          <w:numId w:val="6"/>
        </w:numPr>
        <w:spacing w:line="360" w:lineRule="auto"/>
        <w:ind w:firstLineChars="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配置工业标准 RS485 通信接口，支持标准 Modbus-RTU 协议；</w:t>
      </w:r>
    </w:p>
    <w:p w14:paraId="0F11CEF1">
      <w:pPr>
        <w:pStyle w:val="56"/>
        <w:numPr>
          <w:ilvl w:val="0"/>
          <w:numId w:val="6"/>
        </w:numPr>
        <w:spacing w:line="360" w:lineRule="auto"/>
        <w:ind w:firstLineChars="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支持通过 RS485 总线组网接入通讯管理机，遥测数据上传至配电自动化主站；</w:t>
      </w:r>
    </w:p>
    <w:p w14:paraId="393CAD8C">
      <w:pPr>
        <w:pStyle w:val="56"/>
        <w:numPr>
          <w:ilvl w:val="0"/>
          <w:numId w:val="6"/>
        </w:numPr>
        <w:spacing w:line="360" w:lineRule="auto"/>
        <w:ind w:firstLineChars="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完整具备</w:t>
      </w:r>
      <w:r>
        <w:rPr>
          <w:b w:val="1"/>
          <w:color w:val="auto"/>
          <w:sz w:val="24"/>
          <w:bCs/>
          <w:szCs w:val="24"/>
          <w:rFonts w:ascii="Times New Roman" w:hAnsi="Times New Roman" w:eastAsia="宋体" w:cs="Times New Roman"/>
        </w:rPr>
        <w:t>遥信、遥测、遥控、遥设（四遥）</w:t>
      </w:r>
      <w:r>
        <w:rPr>
          <w:color w:val="auto"/>
          <w:sz w:val="24"/>
          <w:szCs w:val="24"/>
          <w:rFonts w:ascii="Times New Roman" w:hAnsi="Times New Roman" w:eastAsia="宋体" w:cs="Times New Roman"/>
        </w:rPr>
        <w:t>功能，适配 SCADA 电力监控系统；</w:t>
      </w:r>
    </w:p>
    <w:p w14:paraId="67DA9DF6">
      <w:pPr>
        <w:pStyle w:val="56"/>
        <w:numPr>
          <w:ilvl w:val="0"/>
          <w:numId w:val="6"/>
        </w:numPr>
        <w:spacing w:line="360" w:lineRule="auto"/>
        <w:ind w:firstLineChars="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总线组网可靠性高，抗干扰能力强，适应柜内现场工况。</w:t>
      </w:r>
    </w:p>
    <w:p w14:paraId="48EAD8DB">
      <w:pPr>
        <w:spacing w:line="360" w:lineRule="auto"/>
        <w:rPr>
          <w:b w:val="1"/>
          <w:color w:val="auto"/>
          <w:sz w:val="24"/>
          <w:bCs/>
          <w:szCs w:val="24"/>
          <w:rFonts w:ascii="Times New Roman" w:hAnsi="Times New Roman" w:eastAsia="宋体" w:cs="Times New Roman"/>
        </w:rPr>
      </w:pPr>
      <w:r>
        <w:rPr>
          <w:b w:val="1"/>
          <w:color w:val="auto"/>
          <w:sz w:val="24"/>
          <w:bCs/>
          <w:szCs w:val="24"/>
          <w:rFonts w:ascii="Times New Roman" w:hAnsi="Times New Roman" w:eastAsia="宋体" w:cs="Times New Roman" w:hint="eastAsia"/>
        </w:rPr>
        <w:t>3、</w:t>
      </w:r>
      <w:r>
        <w:rPr>
          <w:b w:val="1"/>
          <w:color w:val="auto"/>
          <w:sz w:val="24"/>
          <w:bCs/>
          <w:szCs w:val="24"/>
          <w:rFonts w:ascii="Times New Roman" w:hAnsi="Times New Roman" w:eastAsia="宋体" w:cs="Times New Roman"/>
        </w:rPr>
        <w:t>主要技术性能指标</w:t>
      </w:r>
    </w:p>
    <w:p w14:paraId="748E3860">
      <w:pPr>
        <w:pStyle w:val="56"/>
        <w:numPr>
          <w:ilvl w:val="0"/>
          <w:numId w:val="7"/>
        </w:numPr>
        <w:spacing w:line="360" w:lineRule="auto"/>
        <w:ind w:firstLineChars="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有功电能计量准确度等级：IEC 60687 0.5S 级；</w:t>
      </w:r>
    </w:p>
    <w:p w14:paraId="0F15AD85">
      <w:pPr>
        <w:pStyle w:val="56"/>
        <w:numPr>
          <w:ilvl w:val="0"/>
          <w:numId w:val="7"/>
        </w:numPr>
        <w:spacing w:line="360" w:lineRule="auto"/>
        <w:ind w:firstLineChars="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测量对象：三相交流电压、电流、功率、功率因数、频率；</w:t>
      </w:r>
    </w:p>
    <w:p w14:paraId="4DAE777F">
      <w:pPr>
        <w:pStyle w:val="56"/>
        <w:numPr>
          <w:ilvl w:val="0"/>
          <w:numId w:val="7"/>
        </w:numPr>
        <w:spacing w:line="360" w:lineRule="auto"/>
        <w:ind w:firstLineChars="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计量：双向四象限有功、无功电能，支持分时复费率计量；</w:t>
      </w:r>
    </w:p>
    <w:p w14:paraId="392B151C">
      <w:pPr>
        <w:pStyle w:val="56"/>
        <w:numPr>
          <w:ilvl w:val="0"/>
          <w:numId w:val="7"/>
        </w:numPr>
        <w:spacing w:line="360" w:lineRule="auto"/>
        <w:ind w:firstLineChars="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记录功能：最大 / 最小值存储、需量统计；</w:t>
      </w:r>
    </w:p>
    <w:p w14:paraId="44D5A212">
      <w:pPr>
        <w:pStyle w:val="56"/>
        <w:numPr>
          <w:ilvl w:val="0"/>
          <w:numId w:val="7"/>
        </w:numPr>
        <w:spacing w:line="360" w:lineRule="auto"/>
        <w:ind w:firstLineChars="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通信接口：RS485，Modbus-RTU，波特率、地址可本地或远程设置；</w:t>
      </w:r>
    </w:p>
    <w:p w14:paraId="52B770A4">
      <w:pPr>
        <w:pStyle w:val="56"/>
        <w:numPr>
          <w:ilvl w:val="0"/>
          <w:numId w:val="7"/>
        </w:numPr>
        <w:spacing w:line="360" w:lineRule="auto"/>
        <w:ind w:firstLineChars="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I/O：自带开关量输入、输出通道；</w:t>
      </w:r>
    </w:p>
    <w:p w14:paraId="62693731">
      <w:pPr>
        <w:pStyle w:val="56"/>
        <w:numPr>
          <w:ilvl w:val="0"/>
          <w:numId w:val="7"/>
        </w:numPr>
        <w:spacing w:line="360" w:lineRule="auto"/>
        <w:ind w:firstLineChars="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功能集成：电量测量显示、电能累计、电能质量分析、故障告警、DI/DO、通信一体化。</w:t>
      </w:r>
    </w:p>
    <w:p w14:paraId="7977370D">
      <w:pPr>
        <w:spacing w:line="360" w:lineRule="auto"/>
        <w:rPr>
          <w:b w:val="1"/>
          <w:color w:val="auto"/>
          <w:sz w:val="24"/>
          <w:bCs/>
          <w:szCs w:val="24"/>
          <w:rFonts w:ascii="Times New Roman" w:hAnsi="Times New Roman" w:eastAsia="宋体" w:cs="Times New Roman"/>
        </w:rPr>
      </w:pPr>
      <w:r>
        <w:rPr>
          <w:b w:val="1"/>
          <w:color w:val="auto"/>
          <w:sz w:val="24"/>
          <w:bCs/>
          <w:szCs w:val="24"/>
          <w:rFonts w:ascii="Times New Roman" w:hAnsi="Times New Roman" w:eastAsia="宋体" w:cs="Times New Roman" w:hint="eastAsia"/>
        </w:rPr>
        <w:t>4、</w:t>
      </w:r>
      <w:r>
        <w:rPr>
          <w:b w:val="1"/>
          <w:color w:val="auto"/>
          <w:sz w:val="24"/>
          <w:bCs/>
          <w:szCs w:val="24"/>
          <w:rFonts w:ascii="Times New Roman" w:hAnsi="Times New Roman" w:eastAsia="宋体" w:cs="Times New Roman"/>
        </w:rPr>
        <w:t>结构与外观要求</w:t>
      </w:r>
    </w:p>
    <w:p w14:paraId="6D87EF45">
      <w:pPr>
        <w:pStyle w:val="56"/>
        <w:numPr>
          <w:ilvl w:val="0"/>
          <w:numId w:val="8"/>
        </w:numPr>
        <w:spacing w:line="360" w:lineRule="auto"/>
        <w:ind w:firstLineChars="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面板嵌入式安装，适配低压抽屉柜仪表开孔</w:t>
      </w:r>
      <w:r>
        <w:rPr>
          <w:color w:val="auto"/>
          <w:sz w:val="24"/>
          <w:szCs w:val="24"/>
          <w:rFonts w:ascii="Times New Roman" w:hAnsi="Times New Roman" w:eastAsia="宋体" w:cs="Times New Roman" w:hint="eastAsia"/>
        </w:rPr>
        <w:t>，或满足组屏安装方式</w:t>
      </w:r>
      <w:r>
        <w:rPr>
          <w:color w:val="auto"/>
          <w:sz w:val="24"/>
          <w:szCs w:val="24"/>
          <w:rFonts w:ascii="Times New Roman" w:hAnsi="Times New Roman" w:eastAsia="宋体" w:cs="Times New Roman"/>
        </w:rPr>
        <w:t>；</w:t>
      </w:r>
    </w:p>
    <w:p w14:paraId="12F32C85">
      <w:pPr>
        <w:pStyle w:val="56"/>
        <w:numPr>
          <w:ilvl w:val="0"/>
          <w:numId w:val="8"/>
        </w:numPr>
        <w:spacing w:line="360" w:lineRule="auto"/>
        <w:ind w:firstLineChars="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外壳采用阻燃材料，结构牢固，适合柜内长期运行；</w:t>
      </w:r>
    </w:p>
    <w:p w14:paraId="15FFA6F0">
      <w:pPr>
        <w:pStyle w:val="56"/>
        <w:numPr>
          <w:ilvl w:val="0"/>
          <w:numId w:val="8"/>
        </w:numPr>
        <w:spacing w:line="360" w:lineRule="auto"/>
        <w:ind w:firstLineChars="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面板参数显示清晰，参数可循环切换查看；</w:t>
      </w:r>
    </w:p>
    <w:p w14:paraId="0BB3F6A5">
      <w:pPr>
        <w:pStyle w:val="56"/>
        <w:numPr>
          <w:ilvl w:val="0"/>
          <w:numId w:val="8"/>
        </w:numPr>
        <w:spacing w:line="360" w:lineRule="auto"/>
        <w:ind w:firstLineChars="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端子标识清晰、耐久，不易磨损脱落。</w:t>
      </w:r>
    </w:p>
    <w:p w14:paraId="4FEB1C7F">
      <w:pPr>
        <w:jc w:val="left"/>
        <w:outlineLvl w:val="2"/>
        <w:spacing w:after="120" w:before="120" w:line="360" w:lineRule="auto"/>
        <w:rPr>
          <w:b w:val="1"/>
          <w:color w:val="auto"/>
          <w:sz w:val="24"/>
          <w:bCs/>
          <w:szCs w:val="24"/>
          <w:rFonts w:ascii="宋体" w:hAnsi="宋体" w:eastAsia="宋体"/>
        </w:rPr>
      </w:pPr>
      <w:bookmarkStart w:id="61" w:name="_Toc244176393"/>
      <w:bookmarkStart w:id="62" w:name="_Toc244176124"/>
      <w:r>
        <w:rPr>
          <w:b w:val="1"/>
          <w:color w:val="auto"/>
          <w:sz w:val="24"/>
          <w:bCs/>
          <w:szCs w:val="24"/>
          <w:rFonts w:ascii="宋体" w:hAnsi="宋体" w:eastAsia="宋体" w:hint="eastAsia"/>
        </w:rPr>
        <w:t>4.</w:t>
      </w:r>
      <w:r>
        <w:rPr>
          <w:b w:val="1"/>
          <w:color w:val="auto"/>
          <w:sz w:val="24"/>
          <w:bCs/>
          <w:szCs w:val="24"/>
          <w:rFonts w:ascii="宋体" w:hAnsi="宋体" w:eastAsia="宋体"/>
        </w:rPr>
        <w:t>1</w:t>
      </w:r>
      <w:r>
        <w:rPr>
          <w:b w:val="1"/>
          <w:color w:val="auto"/>
          <w:sz w:val="24"/>
          <w:bCs/>
          <w:szCs w:val="24"/>
          <w:rFonts w:ascii="宋体" w:hAnsi="宋体" w:eastAsia="宋体" w:hint="eastAsia"/>
        </w:rPr>
        <w:t>.</w:t>
      </w:r>
      <w:r>
        <w:rPr>
          <w:b w:val="1"/>
          <w:color w:val="auto"/>
          <w:sz w:val="24"/>
          <w:bCs/>
          <w:szCs w:val="24"/>
          <w:rFonts w:ascii="宋体" w:hAnsi="宋体" w:eastAsia="宋体"/>
        </w:rPr>
        <w:t>3</w:t>
      </w:r>
      <w:r>
        <w:rPr>
          <w:b w:val="1"/>
          <w:color w:val="auto"/>
          <w:sz w:val="24"/>
          <w:bCs/>
          <w:szCs w:val="24"/>
          <w:rFonts w:ascii="宋体" w:hAnsi="宋体" w:eastAsia="宋体" w:hint="eastAsia"/>
        </w:rPr>
        <w:t xml:space="preserve"> 高压开关柜智能</w:t>
      </w:r>
      <w:r>
        <w:rPr>
          <w:b w:val="1"/>
          <w:color w:val="auto"/>
          <w:sz w:val="24"/>
          <w:bCs/>
          <w:szCs w:val="24"/>
          <w:rFonts w:ascii="宋体" w:hAnsi="宋体" w:eastAsia="宋体"/>
        </w:rPr>
        <w:t>监测</w:t>
      </w:r>
      <w:r>
        <w:rPr>
          <w:b w:val="1"/>
          <w:color w:val="auto"/>
          <w:sz w:val="24"/>
          <w:bCs/>
          <w:szCs w:val="24"/>
          <w:rFonts w:ascii="宋体" w:hAnsi="宋体" w:eastAsia="宋体" w:hint="eastAsia"/>
        </w:rPr>
        <w:t>装置</w:t>
      </w:r>
      <w:bookmarkEnd w:id="61"/>
      <w:bookmarkEnd w:id="62"/>
    </w:p>
    <w:p w14:paraId="17B5F575">
      <w:pPr>
        <w:spacing w:line="360" w:lineRule="auto"/>
        <w:ind w:firstLine="480" w:firstLineChars="200"/>
        <w:rPr>
          <w:color w:val="auto"/>
          <w:sz w:val="24"/>
          <w:szCs w:val="24"/>
          <w:rFonts w:ascii="Times New Roman" w:hAnsi="Times New Roman" w:eastAsia="宋体" w:cs="Times New Roman" w:hint="eastAsia"/>
        </w:rPr>
      </w:pPr>
      <w:r>
        <w:rPr>
          <w:color w:val="auto"/>
          <w:sz w:val="24"/>
          <w:lang w:val="en-US" w:eastAsia="zh-CN"/>
          <w:szCs w:val="24"/>
          <w:rFonts w:ascii="宋体" w:hAnsi="宋体" w:eastAsia="宋体" w:hint="eastAsia"/>
        </w:rPr>
        <w:t>本次招标的</w:t>
      </w:r>
      <w:r>
        <w:rPr>
          <w:color w:val="auto"/>
          <w:sz w:val="24"/>
          <w:szCs w:val="24"/>
          <w:rFonts w:ascii="宋体" w:hAnsi="宋体" w:eastAsia="宋体" w:hint="eastAsia"/>
        </w:rPr>
        <w:t>系统</w:t>
      </w:r>
      <w:r>
        <w:rPr>
          <w:color w:val="auto"/>
          <w:sz w:val="24"/>
          <w:lang w:val="en-US" w:eastAsia="zh-CN"/>
          <w:szCs w:val="24"/>
          <w:rFonts w:ascii="宋体" w:hAnsi="宋体" w:eastAsia="宋体" w:hint="eastAsia"/>
        </w:rPr>
        <w:t>中</w:t>
      </w:r>
      <w:r>
        <w:rPr>
          <w:color w:val="auto"/>
          <w:sz w:val="24"/>
          <w:szCs w:val="24"/>
          <w:rFonts w:ascii="Times New Roman" w:hAnsi="Times New Roman" w:eastAsia="宋体" w:cs="Times New Roman" w:hint="eastAsia"/>
        </w:rPr>
        <w:t>10kV高压出线柜</w:t>
      </w:r>
      <w:r>
        <w:rPr>
          <w:color w:val="auto"/>
          <w:sz w:val="24"/>
          <w:szCs w:val="24"/>
          <w:rFonts w:ascii="Times New Roman" w:hAnsi="Times New Roman" w:eastAsia="宋体" w:cs="Times New Roman"/>
        </w:rPr>
        <w:t>保护装置</w:t>
      </w:r>
      <w:r>
        <w:rPr>
          <w:color w:val="auto"/>
          <w:sz w:val="24"/>
          <w:szCs w:val="24"/>
          <w:rFonts w:ascii="Times New Roman" w:hAnsi="Times New Roman" w:eastAsia="宋体" w:cs="Times New Roman" w:hint="eastAsia"/>
        </w:rPr>
        <w:t>运行年限</w:t>
      </w:r>
      <w:r>
        <w:rPr>
          <w:color w:val="auto"/>
          <w:sz w:val="24"/>
          <w:szCs w:val="24"/>
          <w:rFonts w:ascii="Times New Roman" w:hAnsi="Times New Roman" w:eastAsia="宋体" w:cs="Times New Roman"/>
        </w:rPr>
        <w:t>久</w:t>
      </w:r>
      <w:r>
        <w:rPr>
          <w:color w:val="auto"/>
          <w:sz w:val="24"/>
          <w:szCs w:val="24"/>
          <w:rFonts w:ascii="Times New Roman" w:hAnsi="Times New Roman" w:eastAsia="宋体" w:cs="Times New Roman" w:hint="eastAsia"/>
        </w:rPr>
        <w:t>，且</w:t>
      </w:r>
      <w:r>
        <w:rPr>
          <w:color w:val="auto"/>
          <w:sz w:val="24"/>
          <w:szCs w:val="24"/>
          <w:rFonts w:ascii="Times New Roman" w:hAnsi="Times New Roman" w:eastAsia="宋体" w:cs="Times New Roman"/>
        </w:rPr>
        <w:t>不具备保护</w:t>
      </w:r>
      <w:r>
        <w:rPr>
          <w:color w:val="auto"/>
          <w:sz w:val="24"/>
          <w:szCs w:val="24"/>
          <w:rFonts w:ascii="Times New Roman" w:hAnsi="Times New Roman" w:eastAsia="宋体" w:cs="Times New Roman" w:hint="eastAsia"/>
        </w:rPr>
        <w:t>动作</w:t>
      </w:r>
      <w:r>
        <w:rPr>
          <w:color w:val="auto"/>
          <w:sz w:val="24"/>
          <w:szCs w:val="24"/>
          <w:rFonts w:ascii="Times New Roman" w:hAnsi="Times New Roman" w:eastAsia="宋体" w:cs="Times New Roman"/>
        </w:rPr>
        <w:t>信号</w:t>
      </w:r>
      <w:r>
        <w:rPr>
          <w:color w:val="auto"/>
          <w:sz w:val="24"/>
          <w:szCs w:val="24"/>
          <w:rFonts w:ascii="Times New Roman" w:hAnsi="Times New Roman" w:eastAsia="宋体" w:cs="Times New Roman" w:hint="eastAsia"/>
        </w:rPr>
        <w:t>上</w:t>
      </w:r>
      <w:r>
        <w:rPr>
          <w:color w:val="auto"/>
          <w:sz w:val="24"/>
          <w:szCs w:val="24"/>
          <w:rFonts w:ascii="Times New Roman" w:hAnsi="Times New Roman" w:eastAsia="宋体" w:cs="Times New Roman"/>
        </w:rPr>
        <w:t>传</w:t>
      </w:r>
      <w:r>
        <w:rPr>
          <w:color w:val="auto"/>
          <w:sz w:val="24"/>
          <w:szCs w:val="24"/>
          <w:rFonts w:ascii="Times New Roman" w:hAnsi="Times New Roman" w:eastAsia="宋体" w:cs="Times New Roman" w:hint="eastAsia"/>
        </w:rPr>
        <w:t>到</w:t>
      </w:r>
      <w:r>
        <w:rPr>
          <w:color w:val="auto"/>
          <w:sz w:val="24"/>
          <w:szCs w:val="24"/>
          <w:rFonts w:ascii="Times New Roman" w:hAnsi="Times New Roman" w:eastAsia="宋体" w:cs="Times New Roman"/>
        </w:rPr>
        <w:t>电力监控</w:t>
      </w:r>
      <w:r>
        <w:rPr>
          <w:color w:val="auto"/>
          <w:sz w:val="24"/>
          <w:szCs w:val="24"/>
          <w:rFonts w:ascii="Times New Roman" w:hAnsi="Times New Roman" w:eastAsia="宋体" w:cs="Times New Roman" w:hint="eastAsia"/>
        </w:rPr>
        <w:t>后台</w:t>
      </w:r>
      <w:r>
        <w:rPr>
          <w:color w:val="auto"/>
          <w:sz w:val="24"/>
          <w:szCs w:val="24"/>
          <w:rFonts w:ascii="Times New Roman" w:hAnsi="Times New Roman" w:eastAsia="宋体" w:cs="Times New Roman"/>
        </w:rPr>
        <w:t>的通信功能</w:t>
      </w:r>
      <w:r>
        <w:rPr>
          <w:color w:val="auto"/>
          <w:sz w:val="24"/>
          <w:szCs w:val="24"/>
          <w:rFonts w:ascii="Times New Roman" w:hAnsi="Times New Roman" w:eastAsia="宋体" w:cs="Times New Roman" w:hint="eastAsia"/>
        </w:rPr>
        <w:t>。本次改造对该保护装置进行更换，新更换的装置技术要求如下：</w:t>
      </w:r>
    </w:p>
    <w:p w14:paraId="015C30B2">
      <w:pPr>
        <w:jc w:val="left"/>
        <w:spacing w:line="360" w:lineRule="auto"/>
        <w:ind w:firstLine="48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数字化保护测控装置是针对110kV及以下电压等级</w:t>
      </w:r>
      <w:r>
        <w:rPr>
          <w:color w:val="auto"/>
          <w:sz w:val="24"/>
          <w:szCs w:val="24"/>
          <w:rFonts w:ascii="Times New Roman" w:hAnsi="Times New Roman" w:eastAsia="宋体" w:cs="Times New Roman" w:hint="eastAsia"/>
        </w:rPr>
        <w:t>开关柜</w:t>
      </w:r>
      <w:r>
        <w:rPr>
          <w:color w:val="auto"/>
          <w:sz w:val="24"/>
          <w:szCs w:val="24"/>
          <w:rFonts w:ascii="Times New Roman" w:hAnsi="Times New Roman" w:eastAsia="宋体" w:cs="Times New Roman"/>
        </w:rPr>
        <w:t>推出的</w:t>
      </w:r>
      <w:r>
        <w:rPr>
          <w:color w:val="auto"/>
          <w:sz w:val="24"/>
          <w:szCs w:val="24"/>
          <w:rFonts w:ascii="Times New Roman" w:hAnsi="Times New Roman" w:eastAsia="宋体" w:cs="Times New Roman" w:hint="eastAsia"/>
        </w:rPr>
        <w:t>智能</w:t>
      </w:r>
      <w:r>
        <w:rPr>
          <w:color w:val="auto"/>
          <w:sz w:val="24"/>
          <w:szCs w:val="24"/>
          <w:rFonts w:ascii="Times New Roman" w:hAnsi="Times New Roman" w:eastAsia="宋体" w:cs="Times New Roman"/>
        </w:rPr>
        <w:t>控保装置。既适用于电力系统对保护和测控功能的要求，也适用于</w:t>
      </w:r>
      <w:r>
        <w:rPr>
          <w:color w:val="auto"/>
          <w:sz w:val="24"/>
          <w:szCs w:val="24"/>
          <w:rFonts w:ascii="Times New Roman" w:hAnsi="Times New Roman" w:eastAsia="宋体" w:cs="Times New Roman" w:hint="eastAsia"/>
        </w:rPr>
        <w:t>医院</w:t>
      </w:r>
      <w:r>
        <w:rPr>
          <w:color w:val="auto"/>
          <w:sz w:val="24"/>
          <w:lang w:val="en-US" w:eastAsia="zh-CN"/>
          <w:szCs w:val="24"/>
          <w:rFonts w:ascii="Times New Roman" w:hAnsi="Times New Roman" w:eastAsia="宋体" w:cs="Times New Roman" w:hint="eastAsia"/>
        </w:rPr>
        <w:t>这种</w:t>
      </w:r>
      <w:r>
        <w:rPr>
          <w:color w:val="auto"/>
          <w:sz w:val="24"/>
          <w:szCs w:val="24"/>
          <w:rFonts w:ascii="Times New Roman" w:hAnsi="Times New Roman" w:eastAsia="宋体" w:cs="Times New Roman"/>
        </w:rPr>
        <w:t>要求比较灵活的应用场合。产品</w:t>
      </w:r>
      <w:r>
        <w:rPr>
          <w:color w:val="auto"/>
          <w:sz w:val="24"/>
          <w:lang w:val="en-US" w:eastAsia="zh-CN"/>
          <w:szCs w:val="24"/>
          <w:rFonts w:ascii="Times New Roman" w:hAnsi="Times New Roman" w:eastAsia="宋体" w:cs="Times New Roman" w:hint="eastAsia"/>
        </w:rPr>
        <w:t>需</w:t>
      </w:r>
      <w:r>
        <w:rPr>
          <w:color w:val="auto"/>
          <w:sz w:val="24"/>
          <w:szCs w:val="24"/>
          <w:rFonts w:ascii="Times New Roman" w:hAnsi="Times New Roman" w:eastAsia="宋体" w:cs="Times New Roman"/>
        </w:rPr>
        <w:t>操作简单、质量可靠，性价比高。同时符合IEC61850标准，支持SV输出、GOOSE输入输出，支持传统互感器、模拟量小信号或电子式互感器接入。</w:t>
      </w:r>
    </w:p>
    <w:p w14:paraId="281DBE6C">
      <w:pPr>
        <w:jc w:val="left"/>
        <w:tabs>
          <w:tab w:val="left" w:pos="0"/>
        </w:tabs>
        <w:spacing w:line="360" w:lineRule="auto"/>
        <w:rPr>
          <w:color w:val="auto"/>
          <w:sz w:val="24"/>
          <w:bCs/>
          <w:szCs w:val="24"/>
          <w:rFonts w:ascii="Times New Roman" w:hAnsi="Times New Roman" w:eastAsia="宋体" w:cs="Times New Roman"/>
        </w:rPr>
      </w:pPr>
      <w:r>
        <w:rPr>
          <w:color w:val="auto"/>
          <w:sz w:val="24"/>
          <w:bCs/>
          <w:szCs w:val="24"/>
          <w:rFonts w:ascii="Times New Roman" w:hAnsi="Times New Roman" w:eastAsia="宋体" w:cs="Times New Roman"/>
        </w:rPr>
        <w:t>装置主要特点:</w:t>
      </w:r>
    </w:p>
    <w:p w14:paraId="181EFAEC">
      <w:pPr>
        <w:tabs>
          <w:tab w:val="left" w:pos="0"/>
        </w:tabs>
        <w:spacing w:line="360" w:lineRule="auto"/>
        <w:rPr>
          <w:color w:val="auto"/>
          <w:sz w:val="24"/>
          <w:szCs w:val="24"/>
          <w:rFonts w:ascii="Times New Roman" w:hAnsi="Times New Roman" w:eastAsia="宋体" w:cs="Times New Roman"/>
        </w:rPr>
      </w:pPr>
      <w:r>
        <w:rPr>
          <w:color w:val="auto"/>
          <w:sz w:val="24"/>
          <w:szCs w:val="24"/>
          <w:rFonts w:ascii="宋体" w:hAnsi="宋体" w:eastAsia="宋体" w:cs="宋体" w:hint="eastAsia"/>
        </w:rPr>
        <w:t>◇</w:t>
      </w:r>
      <w:r>
        <w:rPr>
          <w:color w:val="auto"/>
          <w:sz w:val="24"/>
          <w:szCs w:val="24"/>
          <w:rFonts w:ascii="Times New Roman" w:hAnsi="Times New Roman" w:eastAsia="宋体" w:cs="Times New Roman"/>
        </w:rPr>
        <w:t xml:space="preserve"> 保护型号和功能齐全：针对35kV及以下电压等级智能化电力系统特点，保护型号配置合理，保护功能齐全。 </w:t>
      </w:r>
    </w:p>
    <w:p w14:paraId="778CE05C">
      <w:pPr>
        <w:tabs>
          <w:tab w:val="left" w:pos="0"/>
        </w:tabs>
        <w:spacing w:line="360" w:lineRule="auto"/>
        <w:rPr>
          <w:color w:val="auto"/>
          <w:sz w:val="24"/>
          <w:szCs w:val="24"/>
          <w:rFonts w:ascii="Times New Roman" w:hAnsi="Times New Roman" w:eastAsia="宋体" w:cs="Times New Roman"/>
        </w:rPr>
      </w:pPr>
      <w:r>
        <w:rPr>
          <w:color w:val="auto"/>
          <w:sz w:val="24"/>
          <w:szCs w:val="24"/>
          <w:rFonts w:ascii="宋体" w:hAnsi="宋体" w:eastAsia="宋体" w:cs="宋体" w:hint="eastAsia"/>
        </w:rPr>
        <w:t>◇</w:t>
      </w:r>
      <w:r>
        <w:rPr>
          <w:color w:val="auto"/>
          <w:sz w:val="24"/>
          <w:szCs w:val="24"/>
          <w:rFonts w:ascii="Times New Roman" w:hAnsi="Times New Roman" w:eastAsia="宋体" w:cs="Times New Roman"/>
        </w:rPr>
        <w:t xml:space="preserve"> 高度集成：集保护、测量、控制、监测、通讯、录波、事件记录等多种功能于一体。 </w:t>
      </w:r>
    </w:p>
    <w:p w14:paraId="72882533">
      <w:pPr>
        <w:tabs>
          <w:tab w:val="left" w:pos="0"/>
        </w:tabs>
        <w:spacing w:line="360" w:lineRule="auto"/>
        <w:rPr>
          <w:color w:val="auto"/>
          <w:sz w:val="24"/>
          <w:szCs w:val="24"/>
          <w:rFonts w:ascii="Times New Roman" w:hAnsi="Times New Roman" w:eastAsia="宋体" w:cs="Times New Roman"/>
        </w:rPr>
      </w:pPr>
      <w:r>
        <w:rPr>
          <w:color w:val="auto"/>
          <w:sz w:val="24"/>
          <w:szCs w:val="24"/>
          <w:rFonts w:ascii="宋体" w:hAnsi="宋体" w:eastAsia="宋体" w:cs="宋体" w:hint="eastAsia"/>
        </w:rPr>
        <w:t>◇</w:t>
      </w:r>
      <w:r>
        <w:rPr>
          <w:color w:val="auto"/>
          <w:sz w:val="24"/>
          <w:szCs w:val="24"/>
          <w:rFonts w:ascii="Times New Roman" w:hAnsi="Times New Roman" w:eastAsia="宋体" w:cs="Times New Roman"/>
        </w:rPr>
        <w:t xml:space="preserve"> 数字化变电站接口（选配）：具备全数字化变电站接口，支持SV输出，GOOSE输入输出，模拟量小信号输入。 </w:t>
      </w:r>
    </w:p>
    <w:p w14:paraId="6C08186D">
      <w:pPr>
        <w:tabs>
          <w:tab w:val="left" w:pos="0"/>
        </w:tabs>
        <w:spacing w:line="360" w:lineRule="auto"/>
        <w:rPr>
          <w:color w:val="auto"/>
          <w:sz w:val="24"/>
          <w:szCs w:val="24"/>
          <w:rFonts w:ascii="Times New Roman" w:hAnsi="Times New Roman" w:eastAsia="宋体" w:cs="Times New Roman"/>
        </w:rPr>
      </w:pPr>
      <w:r>
        <w:rPr>
          <w:color w:val="auto"/>
          <w:sz w:val="24"/>
          <w:szCs w:val="24"/>
          <w:rFonts w:ascii="宋体" w:hAnsi="宋体" w:eastAsia="宋体" w:cs="宋体" w:hint="eastAsia"/>
        </w:rPr>
        <w:t>◇</w:t>
      </w:r>
      <w:r>
        <w:rPr>
          <w:color w:val="auto"/>
          <w:sz w:val="24"/>
          <w:szCs w:val="24"/>
          <w:rFonts w:ascii="Times New Roman" w:hAnsi="Times New Roman" w:eastAsia="宋体" w:cs="Times New Roman"/>
        </w:rPr>
        <w:t xml:space="preserve"> 扩展功能强大：同一插槽位置可配置不同功能板件，很方便实现开入、开出等通道的扩展。 </w:t>
      </w:r>
    </w:p>
    <w:p w14:paraId="0D9DF407">
      <w:pPr>
        <w:tabs>
          <w:tab w:val="left" w:pos="0"/>
        </w:tabs>
        <w:spacing w:line="360" w:lineRule="auto"/>
        <w:rPr>
          <w:color w:val="auto"/>
          <w:sz w:val="24"/>
          <w:szCs w:val="24"/>
          <w:rFonts w:ascii="Times New Roman" w:hAnsi="Times New Roman" w:eastAsia="宋体" w:cs="Times New Roman"/>
        </w:rPr>
      </w:pPr>
      <w:r>
        <w:rPr>
          <w:color w:val="auto"/>
          <w:sz w:val="24"/>
          <w:szCs w:val="24"/>
          <w:rFonts w:ascii="宋体" w:hAnsi="宋体" w:eastAsia="宋体" w:cs="宋体" w:hint="eastAsia"/>
        </w:rPr>
        <w:t>◇</w:t>
      </w:r>
      <w:r>
        <w:rPr>
          <w:color w:val="auto"/>
          <w:sz w:val="24"/>
          <w:szCs w:val="24"/>
          <w:rFonts w:ascii="Times New Roman" w:hAnsi="Times New Roman" w:eastAsia="宋体" w:cs="Times New Roman"/>
        </w:rPr>
        <w:t xml:space="preserve"> 弧光保护功能（选配）：可通过增加弧光采集板，实现弧光保护功能，可选择是否增加电流突变量作为弧光动作判据，可通过弧光通讯接口实现馈线、母线弧光的整体保护。</w:t>
      </w:r>
    </w:p>
    <w:p w14:paraId="7FA76FB4">
      <w:pPr>
        <w:tabs>
          <w:tab w:val="left" w:pos="0"/>
        </w:tabs>
        <w:spacing w:line="360" w:lineRule="auto"/>
        <w:rPr>
          <w:color w:val="auto"/>
          <w:sz w:val="24"/>
          <w:szCs w:val="24"/>
          <w:rFonts w:ascii="Times New Roman" w:hAnsi="Times New Roman" w:eastAsia="宋体" w:cs="Times New Roman"/>
        </w:rPr>
      </w:pPr>
      <w:r>
        <w:rPr>
          <w:color w:val="auto"/>
          <w:sz w:val="24"/>
          <w:szCs w:val="24"/>
          <w:rFonts w:ascii="宋体" w:hAnsi="宋体" w:eastAsia="宋体" w:cs="宋体" w:hint="eastAsia"/>
        </w:rPr>
        <w:t>◇</w:t>
      </w:r>
      <w:r>
        <w:rPr>
          <w:color w:val="auto"/>
          <w:sz w:val="24"/>
          <w:szCs w:val="24"/>
          <w:rFonts w:ascii="Times New Roman" w:hAnsi="Times New Roman" w:eastAsia="宋体" w:cs="Times New Roman"/>
        </w:rPr>
        <w:t xml:space="preserve"> 强大的通讯功能：采用ARM9独立微处理器进行通讯管理，可提供2路RS485（标配1路）、2路以太网通讯接口、1路打印接口和1路IRIG-B码对时接口；通讯协议支持IEC61850、modbus RTU、modbus TCP、IEC103。各功能单元与主控计算机（或通信管理机）进行通讯，可实现遥测、遥信、遥控、保护定值设定及查询、装置工作状态、SOE事件记录、录波数据等传输功能。 </w:t>
      </w:r>
    </w:p>
    <w:p w14:paraId="55755150">
      <w:pPr>
        <w:tabs>
          <w:tab w:val="left" w:pos="0"/>
        </w:tabs>
        <w:spacing w:line="360" w:lineRule="auto"/>
        <w:rPr>
          <w:color w:val="auto"/>
          <w:sz w:val="24"/>
          <w:szCs w:val="24"/>
          <w:rFonts w:ascii="Times New Roman" w:hAnsi="Times New Roman" w:eastAsia="宋体" w:cs="Times New Roman"/>
        </w:rPr>
      </w:pPr>
      <w:r>
        <w:rPr>
          <w:color w:val="auto"/>
          <w:sz w:val="24"/>
          <w:szCs w:val="24"/>
          <w:rFonts w:ascii="宋体" w:hAnsi="宋体" w:eastAsia="宋体" w:cs="宋体" w:hint="eastAsia"/>
        </w:rPr>
        <w:t>◇</w:t>
      </w:r>
      <w:r>
        <w:rPr>
          <w:color w:val="auto"/>
          <w:sz w:val="24"/>
          <w:szCs w:val="24"/>
          <w:rFonts w:ascii="Times New Roman" w:hAnsi="Times New Roman" w:eastAsia="宋体" w:cs="Times New Roman"/>
        </w:rPr>
        <w:t xml:space="preserve"> 控制回路：装置自带防跳回路，防跳功能解除方便，分合闸回路电流自适应。 </w:t>
      </w:r>
    </w:p>
    <w:p w14:paraId="10BD4CE5">
      <w:pPr>
        <w:tabs>
          <w:tab w:val="left" w:pos="0"/>
        </w:tabs>
        <w:spacing w:line="360" w:lineRule="auto"/>
        <w:rPr>
          <w:color w:val="auto"/>
          <w:sz w:val="24"/>
          <w:szCs w:val="24"/>
          <w:rFonts w:ascii="Times New Roman" w:hAnsi="Times New Roman" w:eastAsia="宋体" w:cs="Times New Roman"/>
        </w:rPr>
      </w:pPr>
      <w:r>
        <w:rPr>
          <w:color w:val="auto"/>
          <w:sz w:val="24"/>
          <w:szCs w:val="24"/>
          <w:rFonts w:ascii="宋体" w:hAnsi="宋体" w:eastAsia="宋体" w:cs="宋体" w:hint="eastAsia"/>
        </w:rPr>
        <w:t>◇</w:t>
      </w:r>
      <w:r>
        <w:rPr>
          <w:color w:val="auto"/>
          <w:sz w:val="24"/>
          <w:szCs w:val="24"/>
          <w:rFonts w:ascii="Times New Roman" w:hAnsi="Times New Roman" w:eastAsia="宋体" w:cs="Times New Roman"/>
        </w:rPr>
        <w:t xml:space="preserve"> 测量功能：高精度测量电流、电压、有功功率 、无功功率、功率因数、频率、零序电流、计算电度。 </w:t>
      </w:r>
      <w:bookmarkStart w:id="134" w:name="_GoBack"/>
      <w:bookmarkEnd w:id="134"/>
    </w:p>
    <w:p w14:paraId="493BB712">
      <w:pPr>
        <w:tabs>
          <w:tab w:val="left" w:pos="0"/>
        </w:tabs>
        <w:spacing w:line="360" w:lineRule="auto"/>
        <w:rPr>
          <w:color w:val="auto"/>
          <w:sz w:val="24"/>
          <w:szCs w:val="24"/>
          <w:rFonts w:ascii="Times New Roman" w:hAnsi="Times New Roman" w:eastAsia="宋体" w:cs="Times New Roman"/>
        </w:rPr>
      </w:pPr>
      <w:r>
        <w:rPr>
          <w:color w:val="auto"/>
          <w:sz w:val="24"/>
          <w:szCs w:val="24"/>
          <w:rFonts w:ascii="宋体" w:hAnsi="宋体" w:eastAsia="宋体" w:cs="宋体" w:hint="eastAsia"/>
        </w:rPr>
        <w:t>◇</w:t>
      </w:r>
      <w:r>
        <w:rPr>
          <w:color w:val="auto"/>
          <w:sz w:val="24"/>
          <w:szCs w:val="24"/>
          <w:rFonts w:ascii="Times New Roman" w:hAnsi="Times New Roman" w:eastAsia="宋体" w:cs="Times New Roman"/>
        </w:rPr>
        <w:t xml:space="preserve"> 强大自检功能：具备软、硬件实时自检、硬件配置自动识别与报警功能。 </w:t>
      </w:r>
    </w:p>
    <w:p w14:paraId="12EB0B21">
      <w:pPr>
        <w:tabs>
          <w:tab w:val="left" w:pos="0"/>
        </w:tabs>
        <w:spacing w:line="360" w:lineRule="auto"/>
        <w:rPr>
          <w:color w:val="auto"/>
          <w:sz w:val="24"/>
          <w:szCs w:val="24"/>
          <w:rFonts w:ascii="Times New Roman" w:hAnsi="Times New Roman" w:eastAsia="宋体" w:cs="Times New Roman"/>
        </w:rPr>
      </w:pPr>
      <w:r>
        <w:rPr>
          <w:color w:val="auto"/>
          <w:sz w:val="24"/>
          <w:szCs w:val="24"/>
          <w:rFonts w:ascii="宋体" w:hAnsi="宋体" w:eastAsia="宋体" w:cs="宋体" w:hint="eastAsia"/>
        </w:rPr>
        <w:t>◇</w:t>
      </w:r>
      <w:r>
        <w:rPr>
          <w:color w:val="auto"/>
          <w:sz w:val="24"/>
          <w:szCs w:val="24"/>
          <w:rFonts w:ascii="Times New Roman" w:hAnsi="Times New Roman" w:eastAsia="宋体" w:cs="Times New Roman"/>
        </w:rPr>
        <w:t xml:space="preserve"> 可编程逻辑功能：各保护功能、继电器、开</w:t>
      </w:r>
      <w:r>
        <w:rPr>
          <w:color w:val="auto"/>
          <w:sz w:val="24"/>
          <w:lang w:val="en-US" w:eastAsia="zh-CN"/>
          <w:szCs w:val="24"/>
          <w:rFonts w:ascii="Times New Roman" w:hAnsi="Times New Roman" w:eastAsia="宋体" w:cs="Times New Roman" w:hint="eastAsia"/>
        </w:rPr>
        <w:t>入</w:t>
      </w:r>
      <w:r>
        <w:rPr>
          <w:color w:val="auto"/>
          <w:sz w:val="24"/>
          <w:szCs w:val="24"/>
          <w:rFonts w:ascii="Times New Roman" w:hAnsi="Times New Roman" w:eastAsia="宋体" w:cs="Times New Roman"/>
        </w:rPr>
        <w:t>量具有逻辑组态功能，用户可以现场根据需要来进行设定：保护动作出口和信号输出可自由整定、开</w:t>
      </w:r>
      <w:r>
        <w:rPr>
          <w:color w:val="auto"/>
          <w:sz w:val="24"/>
          <w:lang w:val="en-US" w:eastAsia="zh-CN"/>
          <w:szCs w:val="24"/>
          <w:rFonts w:ascii="Times New Roman" w:hAnsi="Times New Roman" w:eastAsia="宋体" w:cs="Times New Roman" w:hint="eastAsia"/>
        </w:rPr>
        <w:t>入</w:t>
      </w:r>
      <w:r>
        <w:rPr>
          <w:color w:val="auto"/>
          <w:sz w:val="24"/>
          <w:szCs w:val="24"/>
          <w:rFonts w:ascii="Times New Roman" w:hAnsi="Times New Roman" w:eastAsia="宋体" w:cs="Times New Roman"/>
        </w:rPr>
        <w:t xml:space="preserve">量可通过设定实现非电量保护功能和闭锁保护功能。 </w:t>
      </w:r>
    </w:p>
    <w:p w14:paraId="5E169F71">
      <w:pPr>
        <w:tabs>
          <w:tab w:val="left" w:pos="0"/>
        </w:tabs>
        <w:spacing w:line="360" w:lineRule="auto"/>
        <w:rPr>
          <w:color w:val="auto"/>
          <w:sz w:val="24"/>
          <w:szCs w:val="24"/>
          <w:rFonts w:ascii="Times New Roman" w:hAnsi="Times New Roman" w:eastAsia="宋体" w:cs="Times New Roman"/>
        </w:rPr>
      </w:pPr>
      <w:r>
        <w:rPr>
          <w:color w:val="auto"/>
          <w:sz w:val="24"/>
          <w:szCs w:val="24"/>
          <w:rFonts w:ascii="宋体" w:hAnsi="宋体" w:eastAsia="宋体" w:cs="宋体" w:hint="eastAsia"/>
        </w:rPr>
        <w:t>◇</w:t>
      </w:r>
      <w:r>
        <w:rPr>
          <w:color w:val="auto"/>
          <w:sz w:val="24"/>
          <w:szCs w:val="24"/>
          <w:rFonts w:ascii="Times New Roman" w:hAnsi="Times New Roman" w:eastAsia="宋体" w:cs="Times New Roman"/>
        </w:rPr>
        <w:t xml:space="preserve"> 友好人机界面：大屏幕图形液晶显示，动态显示一次系统图、实时波形图、故障录波图、各种电气参数及保护信息。中文菜单提示，操作快捷方便。 </w:t>
      </w:r>
    </w:p>
    <w:p w14:paraId="24EFA392">
      <w:pPr>
        <w:tabs>
          <w:tab w:val="left" w:pos="0"/>
        </w:tabs>
        <w:spacing w:line="360" w:lineRule="auto"/>
        <w:rPr>
          <w:color w:val="auto"/>
          <w:sz w:val="24"/>
          <w:szCs w:val="24"/>
          <w:rFonts w:ascii="Times New Roman" w:hAnsi="Times New Roman" w:eastAsia="宋体" w:cs="Times New Roman"/>
        </w:rPr>
      </w:pPr>
      <w:r>
        <w:rPr>
          <w:color w:val="auto"/>
          <w:sz w:val="24"/>
          <w:szCs w:val="24"/>
          <w:rFonts w:ascii="宋体" w:hAnsi="宋体" w:eastAsia="宋体" w:cs="宋体" w:hint="eastAsia"/>
        </w:rPr>
        <w:t>◇</w:t>
      </w:r>
      <w:r>
        <w:rPr>
          <w:color w:val="auto"/>
          <w:sz w:val="24"/>
          <w:szCs w:val="24"/>
          <w:rFonts w:ascii="Times New Roman" w:hAnsi="Times New Roman" w:eastAsia="宋体" w:cs="Times New Roman"/>
        </w:rPr>
        <w:t xml:space="preserve"> SOE事件记录：在线记录事件量达256条，先进先出（FIFO）动态刷新，带有时间标记，掉电不丢失。 </w:t>
      </w:r>
    </w:p>
    <w:p w14:paraId="1862D2A3">
      <w:pPr>
        <w:tabs>
          <w:tab w:val="left" w:pos="0"/>
        </w:tabs>
        <w:spacing w:line="360" w:lineRule="auto"/>
        <w:rPr>
          <w:color w:val="auto"/>
          <w:sz w:val="24"/>
          <w:szCs w:val="24"/>
          <w:rFonts w:ascii="Times New Roman" w:hAnsi="Times New Roman" w:eastAsia="宋体" w:cs="Times New Roman"/>
        </w:rPr>
      </w:pPr>
      <w:r>
        <w:rPr>
          <w:color w:val="auto"/>
          <w:sz w:val="24"/>
          <w:szCs w:val="24"/>
          <w:rFonts w:ascii="宋体" w:hAnsi="宋体" w:eastAsia="宋体" w:cs="宋体" w:hint="eastAsia"/>
        </w:rPr>
        <w:t>◇</w:t>
      </w:r>
      <w:r>
        <w:rPr>
          <w:color w:val="auto"/>
          <w:sz w:val="24"/>
          <w:szCs w:val="24"/>
          <w:rFonts w:ascii="Times New Roman" w:hAnsi="Times New Roman" w:eastAsia="宋体" w:cs="Times New Roman"/>
        </w:rPr>
        <w:t xml:space="preserve"> 故障录波功能：采用COMTRADE标准录波格式，可记录20个录波报告，可将故障前、故障中、故障后的电流、电压、断路器状态和保护信息完整真实记录下来，为</w:t>
      </w:r>
      <w:r>
        <w:rPr>
          <w:color w:val="auto"/>
          <w:sz w:val="24"/>
          <w:lang w:val="en-US" w:eastAsia="zh-CN"/>
          <w:szCs w:val="24"/>
          <w:rFonts w:ascii="Times New Roman" w:hAnsi="Times New Roman" w:eastAsia="宋体" w:cs="Times New Roman" w:hint="eastAsia"/>
        </w:rPr>
        <w:t>招标方</w:t>
      </w:r>
      <w:r>
        <w:rPr>
          <w:color w:val="auto"/>
          <w:sz w:val="24"/>
          <w:szCs w:val="24"/>
          <w:rFonts w:ascii="Times New Roman" w:hAnsi="Times New Roman" w:eastAsia="宋体" w:cs="Times New Roman"/>
        </w:rPr>
        <w:t xml:space="preserve">进行故障分析提供依据。 </w:t>
      </w:r>
    </w:p>
    <w:p w14:paraId="22376C57">
      <w:pPr>
        <w:tabs>
          <w:tab w:val="left" w:pos="0"/>
        </w:tabs>
        <w:spacing w:line="360" w:lineRule="auto"/>
        <w:rPr>
          <w:color w:val="auto"/>
          <w:sz w:val="24"/>
          <w:szCs w:val="24"/>
          <w:rFonts w:ascii="Times New Roman" w:hAnsi="Times New Roman" w:eastAsia="宋体" w:cs="Times New Roman"/>
        </w:rPr>
      </w:pPr>
      <w:r>
        <w:rPr>
          <w:color w:val="auto"/>
          <w:sz w:val="24"/>
          <w:szCs w:val="24"/>
          <w:rFonts w:ascii="宋体" w:hAnsi="宋体" w:eastAsia="宋体" w:cs="宋体" w:hint="eastAsia"/>
        </w:rPr>
        <w:t>◇</w:t>
      </w:r>
      <w:r>
        <w:rPr>
          <w:color w:val="auto"/>
          <w:sz w:val="24"/>
          <w:szCs w:val="24"/>
          <w:rFonts w:ascii="Times New Roman" w:hAnsi="Times New Roman" w:eastAsia="宋体" w:cs="Times New Roman"/>
        </w:rPr>
        <w:t xml:space="preserve"> 故障自动推画面功能：当保护动作或者有告警信息时，装置自动弹出画面，提示用户动作或者告警的保护。 </w:t>
      </w:r>
    </w:p>
    <w:p w14:paraId="43441721">
      <w:pPr>
        <w:tabs>
          <w:tab w:val="left" w:pos="0"/>
        </w:tabs>
        <w:spacing w:line="360" w:lineRule="auto"/>
        <w:rPr>
          <w:color w:val="auto"/>
          <w:sz w:val="24"/>
          <w:szCs w:val="24"/>
          <w:rFonts w:ascii="Times New Roman" w:hAnsi="Times New Roman" w:eastAsia="宋体" w:cs="Times New Roman"/>
        </w:rPr>
      </w:pPr>
      <w:r>
        <w:rPr>
          <w:color w:val="auto"/>
          <w:sz w:val="24"/>
          <w:szCs w:val="24"/>
          <w:rFonts w:ascii="宋体" w:hAnsi="宋体" w:eastAsia="宋体" w:cs="宋体" w:hint="eastAsia"/>
        </w:rPr>
        <w:t>◇</w:t>
      </w:r>
      <w:r>
        <w:rPr>
          <w:color w:val="auto"/>
          <w:sz w:val="24"/>
          <w:szCs w:val="24"/>
          <w:rFonts w:ascii="Times New Roman" w:hAnsi="Times New Roman" w:eastAsia="宋体" w:cs="Times New Roman"/>
        </w:rPr>
        <w:t xml:space="preserve"> 调试接口：装置具有专门的以太网调试接口，配备调试软件，调试方便。 </w:t>
      </w:r>
    </w:p>
    <w:p w14:paraId="26381871">
      <w:pPr>
        <w:tabs>
          <w:tab w:val="left" w:pos="0"/>
        </w:tabs>
        <w:spacing w:line="360" w:lineRule="auto"/>
        <w:rPr>
          <w:color w:val="auto"/>
          <w:sz w:val="24"/>
          <w:szCs w:val="24"/>
          <w:rFonts w:ascii="Times New Roman" w:hAnsi="Times New Roman" w:eastAsia="宋体" w:cs="Times New Roman"/>
        </w:rPr>
      </w:pPr>
      <w:r>
        <w:rPr>
          <w:color w:val="auto"/>
          <w:sz w:val="24"/>
          <w:szCs w:val="24"/>
          <w:rFonts w:ascii="宋体" w:hAnsi="宋体" w:eastAsia="宋体" w:cs="宋体" w:hint="eastAsia"/>
        </w:rPr>
        <w:t>◇</w:t>
      </w:r>
      <w:r>
        <w:rPr>
          <w:color w:val="auto"/>
          <w:sz w:val="24"/>
          <w:szCs w:val="24"/>
          <w:rFonts w:ascii="Times New Roman" w:hAnsi="Times New Roman" w:eastAsia="宋体" w:cs="Times New Roman"/>
        </w:rPr>
        <w:t xml:space="preserve"> 全封闭机箱：装置采用全封闭半层4U标准机箱，机箱深度较小，既适合集中组屏安装，也可开关柜分散安装；独特机箱设计方便拼接；强弱电严格分开，采取软件抗干扰措施，装置的抗干扰能力大大提高，对外的电磁辐射满足相关标准。 </w:t>
      </w:r>
    </w:p>
    <w:p w14:paraId="510E7D84">
      <w:pPr>
        <w:tabs>
          <w:tab w:val="left" w:pos="0"/>
        </w:tabs>
        <w:spacing w:line="360" w:lineRule="auto"/>
        <w:rPr>
          <w:color w:val="auto"/>
          <w:sz w:val="24"/>
          <w:szCs w:val="24"/>
          <w:rFonts w:ascii="Times New Roman" w:hAnsi="Times New Roman" w:eastAsia="宋体" w:cs="Times New Roman"/>
        </w:rPr>
      </w:pPr>
      <w:r>
        <w:rPr>
          <w:color w:val="auto"/>
          <w:sz w:val="24"/>
          <w:szCs w:val="24"/>
          <w:rFonts w:ascii="宋体" w:hAnsi="宋体" w:eastAsia="宋体" w:cs="宋体" w:hint="eastAsia"/>
        </w:rPr>
        <w:t>◇</w:t>
      </w:r>
      <w:r>
        <w:rPr>
          <w:color w:val="auto"/>
          <w:sz w:val="24"/>
          <w:szCs w:val="24"/>
          <w:rFonts w:ascii="Times New Roman" w:hAnsi="Times New Roman" w:eastAsia="宋体" w:cs="Times New Roman"/>
        </w:rPr>
        <w:t xml:space="preserve"> 符合《DL/T 478-2013 继电保护和安全自动装置通用技术条件》规程要求。 </w:t>
      </w:r>
    </w:p>
    <w:p w14:paraId="33F22252">
      <w:pPr>
        <w:tabs>
          <w:tab w:val="left" w:pos="0"/>
        </w:tabs>
        <w:spacing w:line="360" w:lineRule="auto"/>
        <w:rPr>
          <w:color w:val="auto"/>
          <w:sz w:val="24"/>
          <w:szCs w:val="24"/>
          <w:rFonts w:ascii="Times New Roman" w:hAnsi="Times New Roman" w:eastAsia="宋体" w:cs="Times New Roman"/>
        </w:rPr>
      </w:pPr>
      <w:r>
        <w:rPr>
          <w:color w:val="auto"/>
          <w:sz w:val="24"/>
          <w:szCs w:val="24"/>
          <w:rFonts w:ascii="宋体" w:hAnsi="宋体" w:eastAsia="宋体" w:cs="宋体" w:hint="eastAsia"/>
        </w:rPr>
        <w:t>◇</w:t>
      </w:r>
      <w:r>
        <w:rPr>
          <w:color w:val="auto"/>
          <w:sz w:val="24"/>
          <w:szCs w:val="24"/>
          <w:rFonts w:ascii="Times New Roman" w:hAnsi="Times New Roman" w:eastAsia="宋体" w:cs="Times New Roman"/>
        </w:rPr>
        <w:t xml:space="preserve"> 符合《GB/T 14285-2016 继电保护和安全自动装置技术规程》规程要求。 </w:t>
      </w:r>
    </w:p>
    <w:p w14:paraId="5E287C84">
      <w:pPr>
        <w:tabs>
          <w:tab w:val="left" w:pos="0"/>
        </w:tabs>
        <w:spacing w:line="360" w:lineRule="auto"/>
        <w:rPr>
          <w:color w:val="auto"/>
          <w:sz w:val="24"/>
          <w:szCs w:val="24"/>
          <w:rFonts w:ascii="Times New Roman" w:hAnsi="Times New Roman" w:eastAsia="宋体" w:cs="Times New Roman"/>
        </w:rPr>
      </w:pPr>
      <w:r>
        <w:rPr>
          <w:color w:val="auto"/>
          <w:sz w:val="24"/>
          <w:szCs w:val="24"/>
          <w:rFonts w:ascii="宋体" w:hAnsi="宋体" w:eastAsia="宋体" w:cs="宋体" w:hint="eastAsia"/>
        </w:rPr>
        <w:t>◇</w:t>
      </w:r>
      <w:r>
        <w:rPr>
          <w:color w:val="auto"/>
          <w:sz w:val="24"/>
          <w:szCs w:val="24"/>
          <w:rFonts w:ascii="Times New Roman" w:hAnsi="Times New Roman" w:eastAsia="宋体" w:cs="Times New Roman"/>
        </w:rPr>
        <w:t xml:space="preserve"> 支持DL/T667-1999(ide IEC60870-5-103)规约、Modbus规约和DL/T860（IEC61850)规约</w:t>
      </w:r>
    </w:p>
    <w:p w14:paraId="18A5AD55">
      <w:pPr>
        <w:jc w:val="left"/>
        <w:outlineLvl w:val="2"/>
        <w:spacing w:after="120" w:before="120" w:line="360" w:lineRule="auto"/>
        <w:rPr>
          <w:b w:val="1"/>
          <w:color w:val="auto"/>
          <w:sz w:val="24"/>
          <w:bCs/>
          <w:szCs w:val="24"/>
          <w:rFonts w:ascii="宋体" w:hAnsi="宋体" w:eastAsia="宋体"/>
        </w:rPr>
      </w:pPr>
      <w:bookmarkStart w:id="63" w:name="_Toc244176125"/>
      <w:bookmarkStart w:id="64" w:name="_Toc244176394"/>
      <w:r>
        <w:rPr>
          <w:b w:val="1"/>
          <w:color w:val="auto"/>
          <w:sz w:val="24"/>
          <w:bCs/>
          <w:szCs w:val="24"/>
          <w:rFonts w:ascii="宋体" w:hAnsi="宋体" w:eastAsia="宋体" w:hint="eastAsia"/>
        </w:rPr>
        <w:t>4.</w:t>
      </w:r>
      <w:r>
        <w:rPr>
          <w:b w:val="1"/>
          <w:color w:val="auto"/>
          <w:sz w:val="24"/>
          <w:bCs/>
          <w:szCs w:val="24"/>
          <w:rFonts w:ascii="宋体" w:hAnsi="宋体" w:eastAsia="宋体"/>
        </w:rPr>
        <w:t>1</w:t>
      </w:r>
      <w:r>
        <w:rPr>
          <w:b w:val="1"/>
          <w:color w:val="auto"/>
          <w:sz w:val="24"/>
          <w:bCs/>
          <w:szCs w:val="24"/>
          <w:rFonts w:ascii="宋体" w:hAnsi="宋体" w:eastAsia="宋体" w:hint="eastAsia"/>
        </w:rPr>
        <w:t>.</w:t>
      </w:r>
      <w:r>
        <w:rPr>
          <w:b w:val="1"/>
          <w:color w:val="auto"/>
          <w:sz w:val="24"/>
          <w:bCs/>
          <w:szCs w:val="24"/>
          <w:rFonts w:ascii="宋体" w:hAnsi="宋体" w:eastAsia="宋体"/>
        </w:rPr>
        <w:t>4 电力</w:t>
      </w:r>
      <w:r>
        <w:rPr>
          <w:b w:val="1"/>
          <w:color w:val="auto"/>
          <w:sz w:val="24"/>
          <w:bCs/>
          <w:szCs w:val="24"/>
          <w:rFonts w:ascii="宋体" w:hAnsi="宋体" w:eastAsia="宋体" w:hint="eastAsia"/>
        </w:rPr>
        <w:t>设备智能温度监测</w:t>
      </w:r>
      <w:bookmarkEnd w:id="63"/>
      <w:bookmarkEnd w:id="64"/>
    </w:p>
    <w:p w14:paraId="2E55EBFC">
      <w:pPr>
        <w:jc w:val="left"/>
        <w:spacing w:line="360" w:lineRule="auto"/>
        <w:rPr>
          <w:b w:val="1"/>
          <w:color w:val="auto"/>
          <w:sz w:val="24"/>
          <w:szCs w:val="24"/>
          <w:rFonts w:ascii="Times New Roman" w:hAnsi="Times New Roman" w:eastAsia="宋体" w:cs="Times New Roman"/>
        </w:rPr>
      </w:pPr>
      <w:r>
        <w:rPr>
          <w:b w:val="1"/>
          <w:color w:val="auto"/>
          <w:sz w:val="24"/>
          <w:szCs w:val="24"/>
          <w:rFonts w:ascii="Times New Roman" w:hAnsi="Times New Roman" w:eastAsia="宋体" w:cs="Times New Roman" w:hint="eastAsia"/>
        </w:rPr>
        <w:t>1、变压器</w:t>
      </w:r>
      <w:r>
        <w:rPr>
          <w:b w:val="1"/>
          <w:color w:val="auto"/>
          <w:sz w:val="24"/>
          <w:szCs w:val="24"/>
          <w:rFonts w:ascii="Times New Roman" w:hAnsi="Times New Roman" w:eastAsia="宋体" w:cs="Times New Roman"/>
        </w:rPr>
        <w:t>温度监测</w:t>
      </w:r>
    </w:p>
    <w:p w14:paraId="2695419F">
      <w:pPr>
        <w:jc w:val="left"/>
        <w:spacing w:line="360" w:lineRule="auto"/>
        <w:ind w:firstLine="480" w:firstLineChars="200"/>
        <w:rPr>
          <w:color w:val="auto"/>
          <w:sz w:val="24"/>
          <w:szCs w:val="24"/>
          <w:rFonts w:ascii="宋体" w:hAnsi="宋体" w:eastAsia="宋体" w:hint="eastAsia"/>
        </w:rPr>
      </w:pPr>
      <w:r>
        <w:rPr>
          <w:color w:val="auto"/>
          <w:sz w:val="24"/>
          <w:szCs w:val="24"/>
          <w:rFonts w:ascii="宋体" w:hAnsi="宋体" w:eastAsia="宋体" w:hint="eastAsia"/>
        </w:rPr>
        <w:t>通过安装带有通讯功能的变压器温控仪</w:t>
      </w:r>
      <w:r>
        <w:rPr>
          <w:color w:val="auto"/>
          <w:sz w:val="24"/>
          <w:szCs w:val="24"/>
          <w:rFonts w:ascii="宋体" w:hAnsi="宋体" w:eastAsia="宋体"/>
        </w:rPr>
        <w:t>实现变压器温度、负荷等数据</w:t>
      </w:r>
      <w:r>
        <w:rPr>
          <w:color w:val="auto"/>
          <w:sz w:val="24"/>
          <w:szCs w:val="24"/>
          <w:rFonts w:ascii="宋体" w:hAnsi="宋体" w:eastAsia="宋体" w:hint="eastAsia"/>
        </w:rPr>
        <w:t>的</w:t>
      </w:r>
      <w:r>
        <w:rPr>
          <w:color w:val="auto"/>
          <w:sz w:val="24"/>
          <w:szCs w:val="24"/>
          <w:rFonts w:ascii="宋体" w:hAnsi="宋体" w:eastAsia="宋体"/>
        </w:rPr>
        <w:t>实时监测</w:t>
      </w:r>
      <w:r>
        <w:rPr>
          <w:color w:val="auto"/>
          <w:sz w:val="24"/>
          <w:szCs w:val="24"/>
          <w:rFonts w:ascii="宋体" w:hAnsi="宋体" w:eastAsia="宋体" w:hint="eastAsia"/>
        </w:rPr>
        <w:t>，对于变压器高温告警、超温跳闸、风机故障等异常信息可以及时发现，并进行积极维修，缩短故障排除时间，</w:t>
      </w:r>
      <w:r>
        <w:rPr>
          <w:color w:val="auto"/>
          <w:sz w:val="24"/>
          <w:szCs w:val="24"/>
          <w:rFonts w:ascii="宋体" w:hAnsi="宋体" w:eastAsia="宋体"/>
        </w:rPr>
        <w:t>提高用电可靠性和安全性。</w:t>
      </w:r>
    </w:p>
    <w:p w14:paraId="10C0B878">
      <w:pPr>
        <w:jc w:val="left"/>
        <w:spacing w:line="360" w:lineRule="auto"/>
        <w:ind w:firstLine="480" w:firstLineChars="200"/>
        <w:rPr>
          <w:color w:val="auto"/>
          <w:sz w:val="24"/>
          <w:szCs w:val="24"/>
          <w:rFonts w:ascii="宋体" w:hAnsi="宋体" w:eastAsia="宋体" w:hint="eastAsia"/>
        </w:rPr>
      </w:pPr>
      <w:r>
        <w:rPr>
          <w:color w:val="auto"/>
          <w:sz w:val="24"/>
          <w:szCs w:val="24"/>
          <w:rFonts w:ascii="宋体" w:hAnsi="宋体" w:eastAsia="宋体" w:hint="eastAsia"/>
        </w:rPr>
        <w:t>干式变压器温控仪是干变专用温度监测控制仪表，</w:t>
      </w:r>
      <w:r>
        <w:rPr>
          <w:color w:val="auto"/>
          <w:sz w:val="24"/>
          <w:szCs w:val="24"/>
          <w:rFonts w:ascii="宋体" w:hAnsi="宋体" w:eastAsia="宋体"/>
        </w:rPr>
        <w:t>可根据预设阈值自动启停冷却风机，绕组升温时启动风冷降温，温度回落自动关停风机，兼顾散热效果与能耗控制。具备两级温度保护功能，超温时输出告警信号，温度持续超标输出跳闸信号，切断变压器电源，防止绕组过热烧毁。同时支持传感器断线、短路故障自检报警，配备RS485通讯接口，可将温度、告警、风机状态上传至智能配电监控后台，实现远程监视。该装置是干式变压器安全运行的核心配套设备</w:t>
      </w:r>
      <w:r>
        <w:rPr>
          <w:color w:val="auto"/>
          <w:sz w:val="24"/>
          <w:szCs w:val="24"/>
          <w:rFonts w:ascii="宋体" w:hAnsi="宋体" w:eastAsia="宋体" w:hint="eastAsia"/>
        </w:rPr>
        <w:t>，有效规避高温引发绝缘老化，保障医院配电主变稳定持续供电。</w:t>
      </w:r>
    </w:p>
    <w:p w14:paraId="7F6740F6">
      <w:pPr>
        <w:jc w:val="left"/>
        <w:spacing w:line="360" w:lineRule="auto"/>
        <w:rPr>
          <w:b w:val="1"/>
          <w:color w:val="auto"/>
          <w:sz w:val="24"/>
          <w:szCs w:val="24"/>
          <w:rFonts w:ascii="Times New Roman" w:hAnsi="Times New Roman" w:eastAsia="宋体" w:cs="Times New Roman"/>
        </w:rPr>
      </w:pPr>
      <w:r>
        <w:rPr>
          <w:b w:val="1"/>
          <w:color w:val="auto"/>
          <w:sz w:val="24"/>
          <w:szCs w:val="24"/>
          <w:rFonts w:ascii="Times New Roman" w:hAnsi="Times New Roman" w:eastAsia="宋体" w:cs="Times New Roman" w:hint="eastAsia"/>
        </w:rPr>
        <w:t>2、开关柜</w:t>
      </w:r>
      <w:r>
        <w:rPr>
          <w:b w:val="1"/>
          <w:color w:val="auto"/>
          <w:sz w:val="24"/>
          <w:szCs w:val="24"/>
          <w:rFonts w:ascii="Times New Roman" w:hAnsi="Times New Roman" w:eastAsia="宋体" w:cs="Times New Roman"/>
        </w:rPr>
        <w:t>温度监测</w:t>
      </w:r>
    </w:p>
    <w:p w14:paraId="0466EEAF">
      <w:pPr>
        <w:jc w:val="left"/>
        <w:spacing w:line="360" w:lineRule="auto"/>
        <w:ind w:firstLine="480" w:firstLineChars="200"/>
        <w:rPr>
          <w:color w:val="auto"/>
          <w:sz w:val="24"/>
          <w:bCs/>
          <w:kern w:val="21"/>
          <w:szCs w:val="24"/>
          <w:rFonts w:ascii="Times New Roman" w:hAnsi="Times New Roman" w:eastAsia="宋体" w:cs="Times New Roman"/>
        </w:rPr>
      </w:pPr>
      <w:r>
        <w:rPr>
          <w:color w:val="auto"/>
          <w:sz w:val="24"/>
          <w:bCs/>
          <w:kern w:val="21"/>
          <w:szCs w:val="24"/>
          <w:rFonts w:ascii="Times New Roman" w:hAnsi="Times New Roman" w:eastAsia="宋体" w:cs="Times New Roman" w:hint="eastAsia"/>
        </w:rPr>
        <w:t>低压开关柜电缆头无源无线测温装置由无源测温传感器与无线接收终端组成，传感器卡扣式安装在电缆接线端子位置，依靠</w:t>
      </w:r>
      <w:r>
        <w:rPr>
          <w:color w:val="auto"/>
          <w:sz w:val="24"/>
          <w:bCs/>
          <w:kern w:val="21"/>
          <w:szCs w:val="24"/>
          <w:rFonts w:ascii="Times New Roman" w:hAnsi="Times New Roman" w:eastAsia="宋体" w:cs="Times New Roman"/>
        </w:rPr>
        <w:t>CT感应取电，无需电池与二次布线，可实时采集电缆接头温度数据。</w:t>
      </w:r>
    </w:p>
    <w:p w14:paraId="02627276">
      <w:pPr>
        <w:jc w:val="left"/>
        <w:spacing w:line="360" w:lineRule="auto"/>
        <w:ind w:firstLine="480" w:firstLineChars="200"/>
        <w:rPr>
          <w:color w:val="auto"/>
          <w:sz w:val="24"/>
          <w:bCs/>
          <w:kern w:val="21"/>
          <w:szCs w:val="24"/>
          <w:rFonts w:ascii="Times New Roman" w:hAnsi="Times New Roman" w:eastAsia="宋体" w:cs="Times New Roman"/>
        </w:rPr>
      </w:pPr>
      <w:r>
        <w:rPr>
          <w:color w:val="auto"/>
          <w:sz w:val="24"/>
          <w:bCs/>
          <w:kern w:val="21"/>
          <w:szCs w:val="24"/>
          <w:rFonts w:ascii="Times New Roman" w:hAnsi="Times New Roman" w:eastAsia="宋体" w:cs="Times New Roman"/>
        </w:rPr>
        <w:t>装置通过无线方式将温度信号上传至测温采集终端，再经RS485通讯接入智能配电运维后台，实现电缆接头温度在线监测、温升曲线记录。可自定义高温预警阈值，接点过热时自动推送告警信息，提前发现因端子松动、氧化、负荷偏大引发的发热隐患，避免电缆绝缘老化、起火跳闸事故。该监测方案适配医院低压柜改造，弥补人工巡检无法实时监测柜内隐蔽接点的短板，降低电气火</w:t>
      </w:r>
      <w:r>
        <w:rPr>
          <w:color w:val="auto"/>
          <w:sz w:val="24"/>
          <w:bCs/>
          <w:kern w:val="21"/>
          <w:szCs w:val="24"/>
          <w:rFonts w:ascii="Times New Roman" w:hAnsi="Times New Roman" w:eastAsia="宋体" w:cs="Times New Roman" w:hint="eastAsia"/>
        </w:rPr>
        <w:t>灾风险，保障重要医疗负荷供电稳定。</w:t>
      </w:r>
    </w:p>
    <w:p w14:paraId="528665AA">
      <w:pPr>
        <w:jc w:val="left"/>
        <w:spacing w:line="360" w:lineRule="auto"/>
        <w:rPr>
          <w:b w:val="1"/>
          <w:color w:val="auto"/>
          <w:sz w:val="24"/>
          <w:szCs w:val="24"/>
          <w:rFonts w:ascii="Times New Roman" w:hAnsi="Times New Roman" w:eastAsia="宋体" w:cs="Times New Roman"/>
        </w:rPr>
      </w:pPr>
      <w:r>
        <w:rPr>
          <w:b w:val="1"/>
          <w:color w:val="auto"/>
          <w:sz w:val="24"/>
          <w:szCs w:val="24"/>
          <w:rFonts w:ascii="Times New Roman" w:hAnsi="Times New Roman" w:eastAsia="宋体" w:cs="Times New Roman" w:hint="eastAsia"/>
        </w:rPr>
        <w:t>3、抽屉柜</w:t>
      </w:r>
      <w:r>
        <w:rPr>
          <w:b w:val="1"/>
          <w:color w:val="auto"/>
          <w:sz w:val="24"/>
          <w:szCs w:val="24"/>
          <w:rFonts w:ascii="Times New Roman" w:hAnsi="Times New Roman" w:eastAsia="宋体" w:cs="Times New Roman"/>
        </w:rPr>
        <w:t>温度监测</w:t>
      </w:r>
    </w:p>
    <w:p w14:paraId="65BB039C">
      <w:pPr>
        <w:jc w:val="left"/>
        <w:spacing w:line="360" w:lineRule="auto"/>
        <w:ind w:firstLine="600" w:firstLineChars="25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hint="eastAsia"/>
        </w:rPr>
        <w:t>低压抽屉柜无源无线测温装置，采用卡扣式无源测温传感器，安装于抽屉单元内电缆接线端子、动静触头、电缆头等发热关键点。传感器依靠感应取电工作，无需电池供电，安装便捷，不破坏原有一次回路结构，适合抽屉柜狭小空间内改造。装置实时采集测点温度，无线传输至测温汇集终端，再通过通讯接入智能配电运维平台，持续记录温度变化曲线。可设置多级温度告警阈值，当接头松动、接触不良、过载发热时及时发出告警，提前排查隐患。抽屉柜触头、电缆头属于隐蔽发热点位，人工巡检难以持续监控，在线测温能够及时发现异常温升，防范过热烧蚀、绝缘击穿、短路起火等故障，保障医院低压抽屉柜回路持续可靠供电，降低突发停电风险。</w:t>
      </w:r>
    </w:p>
    <w:p w14:paraId="0A53BB95">
      <w:pPr>
        <w:jc w:val="center"/>
        <w:spacing w:line="360" w:lineRule="auto"/>
        <w:rPr>
          <w:b w:val="1"/>
          <w:color w:val="auto"/>
          <w:sz w:val="24"/>
          <w:szCs w:val="24"/>
          <w:rFonts w:ascii="Times New Roman" w:hAnsi="Times New Roman" w:eastAsia="宋体" w:cs="Times New Roman"/>
        </w:rPr>
      </w:pPr>
    </w:p>
    <w:p w14:paraId="410EF96E">
      <w:pPr>
        <w:jc w:val="left"/>
        <w:spacing w:line="360" w:lineRule="auto"/>
        <w:rPr>
          <w:b w:val="1"/>
          <w:color w:val="auto"/>
          <w:sz w:val="24"/>
          <w:szCs w:val="24"/>
          <w:rFonts w:ascii="Times New Roman" w:hAnsi="Times New Roman" w:eastAsia="宋体" w:cs="Times New Roman"/>
        </w:rPr>
      </w:pPr>
      <w:r>
        <w:rPr>
          <w:b w:val="1"/>
          <w:color w:val="auto"/>
          <w:sz w:val="24"/>
          <w:szCs w:val="24"/>
          <w:rFonts w:ascii="Times New Roman" w:hAnsi="Times New Roman" w:eastAsia="宋体" w:cs="Times New Roman" w:hint="eastAsia"/>
        </w:rPr>
        <w:t>4、配电箱</w:t>
      </w:r>
      <w:r>
        <w:rPr>
          <w:b w:val="1"/>
          <w:color w:val="auto"/>
          <w:sz w:val="24"/>
          <w:szCs w:val="24"/>
          <w:rFonts w:ascii="Times New Roman" w:hAnsi="Times New Roman" w:eastAsia="宋体" w:cs="Times New Roman"/>
        </w:rPr>
        <w:t>温度监测</w:t>
      </w:r>
    </w:p>
    <w:p w14:paraId="576751C6">
      <w:pPr>
        <w:jc w:val="left"/>
        <w:spacing w:line="360" w:lineRule="auto"/>
        <w:ind w:firstLine="480" w:firstLineChars="20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hint="eastAsia"/>
        </w:rPr>
        <w:t>配电箱无源无线测温装置，针对三相动力回路，在箱内</w:t>
      </w:r>
      <w:r>
        <w:rPr>
          <w:color w:val="auto"/>
          <w:sz w:val="24"/>
          <w:szCs w:val="24"/>
          <w:rFonts w:ascii="Times New Roman" w:hAnsi="Times New Roman" w:eastAsia="宋体" w:cs="Times New Roman"/>
        </w:rPr>
        <w:t>A、B、C三相电缆头、接线端子等易发热点位分别安装卡扣式无源测温传感器，依靠CT感应取电，无需电池供电，不改动原有接线结构，适配配电箱紧凑空间。装置实时采集三相接点温度，无线传输数据至测温汇集终端，经由通讯接入智能配电运维后台，自动存储温度数据、生成温升曲线。可设置多级温度预警阈值，当端子松动、氧化、负荷增大造成异常升温时，及时推送告警信息。配电箱接线端子属于隐蔽发热点，人工巡检难以全天候监测，三相同步测温可全面捕捉各相过热隐患，避免绝缘加速老化、打火甚至电气</w:t>
      </w:r>
      <w:r>
        <w:rPr>
          <w:color w:val="auto"/>
          <w:sz w:val="24"/>
          <w:szCs w:val="24"/>
          <w:rFonts w:ascii="Times New Roman" w:hAnsi="Times New Roman" w:eastAsia="宋体" w:cs="Times New Roman" w:hint="eastAsia"/>
        </w:rPr>
        <w:t>火灾事故。该装置适配医院末端动力配电箱智能化改造，补齐三相末端回路温度监测短板，降低用电安全风险，保障医疗区域供电稳定可靠。</w:t>
      </w:r>
    </w:p>
    <w:p w14:paraId="1E210E6F">
      <w:pPr>
        <w:jc w:val="left"/>
        <w:spacing w:line="360" w:lineRule="auto"/>
        <w:rPr>
          <w:b w:val="1"/>
          <w:color w:val="auto"/>
          <w:sz w:val="24"/>
          <w:szCs w:val="24"/>
          <w:rFonts w:ascii="Times New Roman" w:hAnsi="Times New Roman" w:eastAsia="宋体" w:cs="Times New Roman"/>
        </w:rPr>
      </w:pPr>
      <w:r>
        <w:rPr>
          <w:b w:val="1"/>
          <w:color w:val="auto"/>
          <w:sz w:val="24"/>
          <w:szCs w:val="24"/>
          <w:rFonts w:ascii="Times New Roman" w:hAnsi="Times New Roman" w:eastAsia="宋体" w:cs="Times New Roman" w:hint="eastAsia"/>
        </w:rPr>
        <w:t>5、配电室</w:t>
      </w:r>
      <w:r>
        <w:rPr>
          <w:b w:val="1"/>
          <w:color w:val="auto"/>
          <w:sz w:val="24"/>
          <w:szCs w:val="24"/>
          <w:rFonts w:ascii="Times New Roman" w:hAnsi="Times New Roman" w:eastAsia="宋体" w:cs="Times New Roman"/>
        </w:rPr>
        <w:t>环境温湿度</w:t>
      </w:r>
      <w:r>
        <w:rPr>
          <w:b w:val="1"/>
          <w:color w:val="auto"/>
          <w:sz w:val="24"/>
          <w:szCs w:val="24"/>
          <w:rFonts w:ascii="Times New Roman" w:hAnsi="Times New Roman" w:eastAsia="宋体" w:cs="Times New Roman" w:hint="eastAsia"/>
        </w:rPr>
        <w:t>监测</w:t>
      </w:r>
    </w:p>
    <w:p w14:paraId="59DD293E">
      <w:pPr>
        <w:pStyle w:val="103"/>
        <w:spacing w:line="360" w:lineRule="auto"/>
        <w:ind w:firstLine="480"/>
        <w:rPr>
          <w:color w:val="auto"/>
          <w:sz w:val="24"/>
          <w:lang w:val="en-US" w:eastAsia="zh-CN" w:bidi="ar-SA"/>
          <w:bCs/>
          <w:kern w:val="21"/>
          <w:szCs w:val="24"/>
          <w:rFonts w:cs="Times New Roman" w:hint="eastAsia"/>
        </w:rPr>
      </w:pPr>
      <w:r>
        <w:rPr>
          <w:color w:val="auto"/>
          <w:sz w:val="24"/>
          <w:lang w:val="en-US" w:eastAsia="zh-CN" w:bidi="ar-SA"/>
          <w:bCs/>
          <w:kern w:val="21"/>
          <w:szCs w:val="24"/>
          <w:rFonts w:cs="Times New Roman" w:hint="eastAsia"/>
        </w:rPr>
        <w:t>配电室壁挂式温湿度传感器，采用工业级传感芯片，实时采集配电室内环境温度与相对湿度数值，本地液晶屏直观显示监测数据。设备搭载</w:t>
      </w:r>
      <w:r>
        <w:rPr>
          <w:color w:val="auto"/>
          <w:sz w:val="24"/>
          <w:lang w:val="en-US" w:eastAsia="zh-CN" w:bidi="ar-SA"/>
          <w:bCs/>
          <w:kern w:val="21"/>
          <w:szCs w:val="24"/>
          <w:rFonts w:cs="Times New Roman"/>
        </w:rPr>
        <w:t>RS485通讯接口，支持Modbus协议，可将温湿度数据上传至配电室辅控/智能配电运维后台，实现远程实时查看、历史数据存储。可自定义温湿度上下限告警阈值，当环境温湿度超标时触发告警，联动空调、除湿机等设备启停。配电室湿度过高易造成设备凝露、绝缘下降，温度过高会加速元器件老化</w:t>
      </w:r>
      <w:r>
        <w:rPr>
          <w:color w:val="auto"/>
          <w:sz w:val="24"/>
          <w:lang w:val="en-US" w:eastAsia="zh-CN" w:bidi="ar-SA"/>
          <w:bCs/>
          <w:kern w:val="21"/>
          <w:szCs w:val="24"/>
          <w:rFonts w:cs="Times New Roman" w:hint="eastAsia"/>
        </w:rPr>
        <w:t>。传感器通过4-20mA接口连接至动环监控报警主机，温湿度模拟量能实时上传平台，前端及运维中心能随时查阅设备运行场地的环境温湿度，并做出相应的处理（远程遥控空调或排风扇）。</w:t>
      </w:r>
    </w:p>
    <w:p w14:paraId="0F256427">
      <w:pPr>
        <w:pStyle w:val="103"/>
        <w:spacing w:line="360" w:lineRule="auto"/>
        <w:ind w:firstLine="480"/>
        <w:rPr>
          <w:color w:val="auto"/>
          <w:sz w:val="24"/>
          <w:lang w:val="en-US" w:eastAsia="zh-CN" w:bidi="ar-SA"/>
          <w:bCs/>
          <w:kern w:val="21"/>
          <w:szCs w:val="24"/>
          <w:rFonts w:cs="Times New Roman" w:hint="eastAsia"/>
        </w:rPr>
      </w:pPr>
      <w:r>
        <w:rPr>
          <w:color w:val="auto"/>
          <w:sz w:val="24"/>
          <w:lang w:val="en-US" w:eastAsia="zh-CN" w:bidi="ar-SA"/>
          <w:bCs/>
          <w:kern w:val="21"/>
          <w:szCs w:val="24"/>
          <w:rFonts w:cs="Times New Roman"/>
        </w:rPr>
        <w:t>该装置实现环境全天候监测，弥补人工巡检间断性的短板，及时规避潮湿、高温带来的设备故障风险，保障开关</w:t>
      </w:r>
      <w:r>
        <w:rPr>
          <w:color w:val="auto"/>
          <w:sz w:val="24"/>
          <w:lang w:val="en-US" w:eastAsia="zh-CN" w:bidi="ar-SA"/>
          <w:bCs/>
          <w:kern w:val="21"/>
          <w:szCs w:val="24"/>
          <w:rFonts w:cs="Times New Roman" w:hint="eastAsia"/>
        </w:rPr>
        <w:t>柜、变压器等配电设备长期稳定运行，满足医院配电室环境智能化监控改造需求。</w:t>
      </w:r>
    </w:p>
    <w:p w14:paraId="31353179">
      <w:pPr>
        <w:jc w:val="left"/>
        <w:outlineLvl w:val="2"/>
        <w:spacing w:after="120" w:before="120" w:line="360" w:lineRule="auto"/>
        <w:rPr>
          <w:b w:val="1"/>
          <w:color w:val="auto"/>
          <w:sz w:val="24"/>
          <w:bCs/>
          <w:szCs w:val="24"/>
          <w:rFonts w:ascii="宋体" w:hAnsi="宋体" w:eastAsia="宋体"/>
        </w:rPr>
      </w:pPr>
      <w:bookmarkStart w:id="65" w:name="_Toc244176126"/>
      <w:bookmarkStart w:id="66" w:name="_Toc244176395"/>
      <w:r>
        <w:rPr>
          <w:b w:val="1"/>
          <w:color w:val="auto"/>
          <w:sz w:val="24"/>
          <w:bCs/>
          <w:szCs w:val="24"/>
          <w:rFonts w:ascii="宋体" w:hAnsi="宋体" w:eastAsia="宋体" w:hint="eastAsia"/>
        </w:rPr>
        <w:t>4.1</w:t>
      </w:r>
      <w:r>
        <w:rPr>
          <w:b w:val="1"/>
          <w:color w:val="auto"/>
          <w:sz w:val="24"/>
          <w:bCs/>
          <w:szCs w:val="24"/>
          <w:rFonts w:ascii="宋体" w:hAnsi="宋体" w:eastAsia="宋体"/>
        </w:rPr>
        <w:t>.</w:t>
      </w:r>
      <w:r>
        <w:rPr>
          <w:b w:val="1"/>
          <w:color w:val="auto"/>
          <w:sz w:val="24"/>
          <w:bCs/>
          <w:szCs w:val="24"/>
          <w:rFonts w:ascii="宋体" w:hAnsi="宋体" w:eastAsia="宋体" w:hint="eastAsia"/>
        </w:rPr>
        <w:t xml:space="preserve">5 </w:t>
      </w:r>
      <w:r>
        <w:rPr>
          <w:b w:val="1"/>
          <w:color w:val="auto"/>
          <w:sz w:val="24"/>
          <w:bCs/>
          <w:szCs w:val="24"/>
          <w:rFonts w:ascii="宋体" w:hAnsi="宋体" w:eastAsia="宋体"/>
        </w:rPr>
        <w:t>火灾自动报警系统</w:t>
      </w:r>
      <w:bookmarkEnd w:id="65"/>
      <w:bookmarkEnd w:id="66"/>
    </w:p>
    <w:p w14:paraId="60B7B8AF">
      <w:pPr>
        <w:spacing w:line="360" w:lineRule="auto"/>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 xml:space="preserve">    在变电站配电室室内安装烟感、温感探测器进行实时电气火灾状态监测，一旦发生报警，系统自动切换到相应的监控界面，且火警状态图标变红闪烁显示，同时产生报警事件进行记录存储及有相应的处理提示，并第一时间启动对外报警系统，以提醒相关管理人员，确定操作，避免造成更大的损失。</w:t>
      </w:r>
      <w:r>
        <w:rPr>
          <w:color w:val="auto"/>
          <w:sz w:val="24"/>
          <w:kern w:val="44"/>
          <w:szCs w:val="24"/>
          <w:rFonts w:ascii="Times New Roman" w:hAnsi="Times New Roman" w:eastAsia="宋体" w:cs="Times New Roman"/>
        </w:rPr>
        <w:t>系统通过火灾触发装置对防区进行全方位监视，触发装置可将现场火情信号实时传送至主控中心及分控室的消防报警主机。</w:t>
      </w:r>
    </w:p>
    <w:p w14:paraId="1078CDF8">
      <w:pPr>
        <w:jc w:val="left"/>
        <w:outlineLvl w:val="2"/>
        <w:spacing w:after="120" w:before="120" w:line="360" w:lineRule="auto"/>
        <w:rPr>
          <w:b w:val="1"/>
          <w:color w:val="auto"/>
          <w:sz w:val="24"/>
          <w:bCs/>
          <w:szCs w:val="24"/>
          <w:rFonts w:ascii="宋体" w:hAnsi="宋体" w:eastAsia="宋体"/>
        </w:rPr>
      </w:pPr>
      <w:bookmarkStart w:id="67" w:name="_Toc244176127"/>
      <w:bookmarkStart w:id="68" w:name="_Toc244176396"/>
      <w:r>
        <w:rPr>
          <w:b w:val="1"/>
          <w:color w:val="auto"/>
          <w:sz w:val="24"/>
          <w:bCs/>
          <w:szCs w:val="24"/>
          <w:rFonts w:ascii="宋体" w:hAnsi="宋体" w:eastAsia="宋体" w:hint="eastAsia"/>
        </w:rPr>
        <w:t>4.1</w:t>
      </w:r>
      <w:r>
        <w:rPr>
          <w:b w:val="1"/>
          <w:color w:val="auto"/>
          <w:sz w:val="24"/>
          <w:bCs/>
          <w:szCs w:val="24"/>
          <w:rFonts w:ascii="宋体" w:hAnsi="宋体" w:eastAsia="宋体"/>
        </w:rPr>
        <w:t>.6</w:t>
      </w:r>
      <w:r>
        <w:rPr>
          <w:b w:val="1"/>
          <w:color w:val="auto"/>
          <w:sz w:val="24"/>
          <w:bCs/>
          <w:szCs w:val="24"/>
          <w:rFonts w:ascii="宋体" w:hAnsi="宋体" w:eastAsia="宋体" w:hint="eastAsia"/>
        </w:rPr>
        <w:t xml:space="preserve"> 水浸</w:t>
      </w:r>
      <w:r>
        <w:rPr>
          <w:b w:val="1"/>
          <w:color w:val="auto"/>
          <w:sz w:val="24"/>
          <w:bCs/>
          <w:szCs w:val="24"/>
          <w:rFonts w:ascii="宋体" w:hAnsi="宋体" w:eastAsia="宋体"/>
        </w:rPr>
        <w:t>装置</w:t>
      </w:r>
      <w:bookmarkEnd w:id="67"/>
      <w:bookmarkEnd w:id="68"/>
    </w:p>
    <w:p w14:paraId="0D3DD01E">
      <w:pPr>
        <w:pStyle w:val="8"/>
        <w:topLinePunct w:val="1"/>
        <w:spacing w:line="360" w:lineRule="auto"/>
        <w:ind w:firstLine="480" w:left="105" w:leftChars="50"/>
        <w:rPr>
          <w:color w:val="auto"/>
          <w:sz w:val="24"/>
          <w:rFonts w:ascii="宋体" w:hAnsi="宋体" w:hint="eastAsia"/>
        </w:rPr>
      </w:pPr>
      <w:r>
        <w:rPr>
          <w:color w:val="auto"/>
          <w:sz w:val="24"/>
          <w:rFonts w:ascii="宋体" w:hAnsi="宋体" w:hint="eastAsia"/>
        </w:rPr>
        <w:t>配电室线缆式水浸监测装置由水浸变送器与黄色漏水感应绳配套组成，感应绳可沿电缆沟底部、配电室低洼处敷设，接触积水后即可触发检测信号。装置支持</w:t>
      </w:r>
      <w:r>
        <w:rPr>
          <w:color w:val="auto"/>
          <w:sz w:val="24"/>
          <w:rFonts w:ascii="宋体" w:hAnsi="宋体"/>
        </w:rPr>
        <w:t>RS485通讯，接入智能配电运维监控平台，实时上传漏水告警信号。电缆沟积水会腐蚀电缆外护套，造成绝缘下降，极易引发短路、漏电事故；配电室进水会威胁开关柜、变压器等核心设备安全。该套装置实现24小时不间断监测，可在积水初期及时发出告警，提醒运维人员快速处置，避免水淹配电设备造成停电事故。</w:t>
      </w:r>
      <w:r>
        <w:rPr>
          <w:color w:val="auto"/>
          <w:sz w:val="24"/>
          <w:bCs/>
          <w:kern w:val="21"/>
        </w:rPr>
        <w:t>当水位超过警戒线时，能够通过开关量报警。电缆沟内的水浸传感器通过开关量输出报警信号给动环监控报警主机，动环监控报警主机根据预置规则启动抽水泵排水，同时把现场积水情况及时上传平台, 使前端及运维中心知情。</w:t>
      </w:r>
    </w:p>
    <w:p w14:paraId="3DD70588">
      <w:pPr>
        <w:jc w:val="left"/>
        <w:outlineLvl w:val="2"/>
        <w:spacing w:after="120" w:before="120" w:line="360" w:lineRule="auto"/>
        <w:rPr>
          <w:b w:val="1"/>
          <w:color w:val="auto"/>
          <w:sz w:val="24"/>
          <w:bCs/>
          <w:szCs w:val="24"/>
          <w:rFonts w:ascii="宋体" w:hAnsi="宋体" w:eastAsia="宋体"/>
        </w:rPr>
      </w:pPr>
      <w:bookmarkStart w:id="69" w:name="_Toc244176128"/>
      <w:bookmarkStart w:id="70" w:name="_Toc244176397"/>
      <w:r>
        <w:rPr>
          <w:b w:val="1"/>
          <w:color w:val="auto"/>
          <w:sz w:val="24"/>
          <w:bCs/>
          <w:szCs w:val="24"/>
          <w:rFonts w:ascii="宋体" w:hAnsi="宋体" w:eastAsia="宋体" w:hint="eastAsia"/>
        </w:rPr>
        <w:t>4.1</w:t>
      </w:r>
      <w:r>
        <w:rPr>
          <w:b w:val="1"/>
          <w:color w:val="auto"/>
          <w:sz w:val="24"/>
          <w:bCs/>
          <w:szCs w:val="24"/>
          <w:rFonts w:ascii="宋体" w:hAnsi="宋体" w:eastAsia="宋体"/>
        </w:rPr>
        <w:t>.7</w:t>
      </w:r>
      <w:r>
        <w:rPr>
          <w:b w:val="1"/>
          <w:color w:val="auto"/>
          <w:sz w:val="24"/>
          <w:bCs/>
          <w:szCs w:val="24"/>
          <w:rFonts w:ascii="宋体" w:hAnsi="宋体" w:eastAsia="宋体" w:hint="eastAsia"/>
        </w:rPr>
        <w:t xml:space="preserve"> 门禁装置</w:t>
      </w:r>
      <w:bookmarkEnd w:id="69"/>
      <w:bookmarkEnd w:id="70"/>
    </w:p>
    <w:p w14:paraId="7C5B5765">
      <w:pPr>
        <w:pStyle w:val="8"/>
        <w:topLinePunct w:val="1"/>
        <w:spacing w:line="360" w:lineRule="auto"/>
        <w:ind w:firstLine="480"/>
        <w:rPr>
          <w:color w:val="auto"/>
          <w:sz w:val="24"/>
        </w:rPr>
      </w:pPr>
      <w:r>
        <w:rPr>
          <w:color w:val="auto"/>
          <w:sz w:val="24"/>
        </w:rPr>
        <w:t>配电室门禁系统实现出入口人员权限分级管控，记录出入人员、时间信息，阻挡无关人员擅自进入，发生闯入可触发告警，满足无人值守变电站安防管控需求。</w:t>
      </w:r>
    </w:p>
    <w:p w14:paraId="5734AB3C">
      <w:pPr>
        <w:pStyle w:val="8"/>
        <w:topLinePunct w:val="1"/>
        <w:spacing w:line="360" w:lineRule="auto"/>
        <w:ind w:firstLine="480"/>
        <w:rPr>
          <w:color w:val="auto"/>
          <w:sz w:val="24"/>
        </w:rPr>
      </w:pPr>
      <w:r>
        <w:rPr>
          <w:color w:val="auto"/>
          <w:sz w:val="24"/>
          <w:kern w:val="44"/>
        </w:rPr>
        <w:t>设置电子门锁，由控制器、读卡器、电控锁、出门开关、管理主机、管理软件等组成。日常运行期间只有维修和巡检人员携带经过授权的IC卡才能进入，进行例行巡检和维护，其他人员需要进入时必须得到监控中心值班人员的许可，领取临时制作的IC卡才能进入。这样，一方面可以有效管理无人值守设备间的人员出入，防止无关人员的出入造成意外事件发生；另一方面，还可以记录和检查例行巡检工作的情况。</w:t>
      </w:r>
      <w:r>
        <w:rPr>
          <w:color w:val="auto"/>
          <w:sz w:val="24"/>
        </w:rPr>
        <w:t xml:space="preserve">同时视频摄像头、照明控制进行关联。 </w:t>
      </w:r>
    </w:p>
    <w:p w14:paraId="4DD54204">
      <w:pPr>
        <w:jc w:val="left"/>
        <w:outlineLvl w:val="2"/>
        <w:spacing w:after="120" w:before="120" w:line="360" w:lineRule="auto"/>
        <w:rPr>
          <w:b w:val="1"/>
          <w:color w:val="auto"/>
          <w:sz w:val="24"/>
          <w:bCs/>
          <w:szCs w:val="24"/>
          <w:rFonts w:ascii="宋体" w:hAnsi="宋体" w:eastAsia="宋体"/>
        </w:rPr>
      </w:pPr>
      <w:bookmarkStart w:id="71" w:name="_Toc244176398"/>
      <w:bookmarkStart w:id="72" w:name="_Toc244176129"/>
      <w:r>
        <w:rPr>
          <w:b w:val="1"/>
          <w:color w:val="auto"/>
          <w:sz w:val="24"/>
          <w:bCs/>
          <w:szCs w:val="24"/>
          <w:rFonts w:ascii="宋体" w:hAnsi="宋体" w:eastAsia="宋体" w:hint="eastAsia"/>
        </w:rPr>
        <w:t>4.1</w:t>
      </w:r>
      <w:r>
        <w:rPr>
          <w:b w:val="1"/>
          <w:color w:val="auto"/>
          <w:sz w:val="24"/>
          <w:bCs/>
          <w:szCs w:val="24"/>
          <w:rFonts w:ascii="宋体" w:hAnsi="宋体" w:eastAsia="宋体"/>
        </w:rPr>
        <w:t>.8</w:t>
      </w:r>
      <w:r>
        <w:rPr>
          <w:b w:val="1"/>
          <w:color w:val="auto"/>
          <w:sz w:val="24"/>
          <w:bCs/>
          <w:szCs w:val="24"/>
          <w:rFonts w:ascii="宋体" w:hAnsi="宋体" w:eastAsia="宋体" w:hint="eastAsia"/>
        </w:rPr>
        <w:t xml:space="preserve"> 视频系统</w:t>
      </w:r>
      <w:bookmarkEnd w:id="71"/>
      <w:bookmarkEnd w:id="72"/>
    </w:p>
    <w:p w14:paraId="1187F389">
      <w:pPr>
        <w:spacing w:line="360" w:lineRule="auto"/>
        <w:ind w:firstLine="480" w:firstLineChars="200" w:left="105" w:leftChars="5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变电站配电室内安装视频监控子系统实现配电室现场画面实时监视，识别设备异常、人员违规操作，告警信息上传平台，保障配电室运行安全。</w:t>
      </w:r>
    </w:p>
    <w:p w14:paraId="279683F8">
      <w:pPr>
        <w:spacing w:line="360" w:lineRule="auto"/>
        <w:ind w:firstLine="480" w:firstLineChars="200" w:left="105" w:leftChars="50"/>
        <w:rPr>
          <w:color w:val="auto"/>
          <w:sz w:val="24"/>
          <w:szCs w:val="24"/>
          <w:rFonts w:ascii="Times New Roman" w:hAnsi="Times New Roman" w:eastAsia="宋体" w:cs="Times New Roman"/>
        </w:rPr>
      </w:pPr>
      <w:r>
        <w:rPr>
          <w:color w:val="auto"/>
          <w:sz w:val="24"/>
          <w:bCs/>
          <w:kern w:val="21"/>
          <w:rFonts w:ascii="Times New Roman" w:hAnsi="Times New Roman" w:eastAsia="宋体" w:cs="Times New Roman"/>
        </w:rPr>
        <w:drawing>
          <wp:inline distT="0" distB="0" distL="0" distR="0">
            <wp:extent cx="4732020" cy="1993265"/>
            <wp:effectExtent l="0" t="0" r="7620" b="3175"/>
            <wp:docPr id="7" name="Picture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 descr="2"/>
                    <pic:cNvPicPr/>
                  </pic:nvPicPr>
                  <pic:blipFill>
                    <a:blip r:embed="rId17" cstate="print">
                      <a:extLst>
                        <a:ext uri="{28A0092B-C50C-407E-A947-70E740481C1C}">
                          <a14:useLocalDpi xmlns:a14="http://schemas.microsoft.com/office/drawing/2010/main" val="0"/>
                        </a:ext>
                      </a:extLst>
                    </a:blip>
                    <a:srcRect t="3247" b="52051"/>
                    <a:stretch>
                      <a:fillRect/>
                    </a:stretch>
                  </pic:blipFill>
                  <pic:spPr>
                    <a:xfrm>
                      <a:off x="0" y="0"/>
                      <a:ext cx="4739061" cy="1993265"/>
                    </a:xfrm>
                    <a:prstGeom prst="rect">
                      <a:avLst/>
                    </a:prstGeom>
                    <a:noFill/>
                    <a:ln w="12700">
                      <a:noFill/>
                    </a:ln>
                  </pic:spPr>
                </pic:pic>
              </a:graphicData>
            </a:graphic>
          </wp:inline>
        </w:drawing>
      </w:r>
    </w:p>
    <w:p w14:paraId="54519995">
      <w:pPr>
        <w:spacing w:line="360" w:lineRule="auto"/>
        <w:ind w:firstLine="480" w:firstLineChars="200" w:left="105" w:leftChars="5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灵活设置录像方式，包括24小时录像、预设时间段录像、报警预录像、移动侦测录像以及联动触发录像等多种方式。</w:t>
      </w:r>
    </w:p>
    <w:p w14:paraId="597DD6D3">
      <w:pPr>
        <w:spacing w:line="360" w:lineRule="auto"/>
        <w:ind w:firstLine="480" w:firstLineChars="200" w:left="105" w:leftChars="5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录像的方式有两种，一种是只有画面是动态时才进行录像，另一种是静态时进行低分辨率的录像，动态时是高分辨率的录像。按实际需要进行录像。支持历史视频检索回放功能，可根据录像的类型、通道、时间等条件进行检索，回放速度可调。</w:t>
      </w:r>
    </w:p>
    <w:p w14:paraId="4BA7337E">
      <w:pPr>
        <w:spacing w:line="360" w:lineRule="auto"/>
        <w:ind w:firstLine="480" w:firstLineChars="200" w:left="105" w:leftChars="5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支持与其它子系统的联动功能，如：门打开或发生防盗报警时联动摄像机进行录像，同时弹出相应的视频画面窗口等。</w:t>
      </w:r>
    </w:p>
    <w:p w14:paraId="698F4608">
      <w:pPr>
        <w:jc w:val="left"/>
        <w:outlineLvl w:val="1"/>
        <w:spacing w:after="120" w:before="120" w:line="360" w:lineRule="auto"/>
        <w:rPr>
          <w:b w:val="1"/>
          <w:color w:val="auto"/>
          <w:sz w:val="28"/>
          <w:bCs/>
          <w:szCs w:val="28"/>
          <w:rFonts w:ascii="宋体" w:hAnsi="宋体" w:eastAsia="宋体"/>
        </w:rPr>
      </w:pPr>
      <w:bookmarkStart w:id="73" w:name="_Toc244176130"/>
      <w:bookmarkStart w:id="74" w:name="_Toc244176399"/>
      <w:r>
        <w:rPr>
          <w:b w:val="1"/>
          <w:color w:val="auto"/>
          <w:sz w:val="28"/>
          <w:bCs/>
          <w:szCs w:val="28"/>
          <w:rFonts w:ascii="宋体" w:hAnsi="宋体" w:eastAsia="宋体" w:hint="eastAsia"/>
        </w:rPr>
        <w:t>4</w:t>
      </w:r>
      <w:r>
        <w:rPr>
          <w:b w:val="1"/>
          <w:color w:val="auto"/>
          <w:sz w:val="28"/>
          <w:bCs/>
          <w:szCs w:val="28"/>
          <w:rFonts w:ascii="宋体" w:hAnsi="宋体" w:eastAsia="宋体"/>
        </w:rPr>
        <w:t>.2</w:t>
      </w:r>
      <w:r>
        <w:rPr>
          <w:b w:val="1"/>
          <w:color w:val="auto"/>
          <w:sz w:val="28"/>
          <w:bCs/>
          <w:szCs w:val="28"/>
          <w:rFonts w:ascii="宋体" w:hAnsi="宋体" w:eastAsia="宋体" w:hint="eastAsia"/>
        </w:rPr>
        <w:t xml:space="preserve"> 智慧电力运维系统</w:t>
      </w:r>
      <w:bookmarkEnd w:id="73"/>
      <w:bookmarkEnd w:id="74"/>
    </w:p>
    <w:p w14:paraId="00DD0BC3">
      <w:pPr>
        <w:jc w:val="left"/>
        <w:outlineLvl w:val="2"/>
        <w:spacing w:after="120" w:before="120" w:line="360" w:lineRule="auto"/>
        <w:rPr>
          <w:b w:val="1"/>
          <w:color w:val="auto"/>
          <w:sz w:val="24"/>
          <w:bCs/>
          <w:szCs w:val="24"/>
          <w:rFonts w:ascii="宋体" w:hAnsi="宋体" w:eastAsia="宋体"/>
        </w:rPr>
      </w:pPr>
      <w:bookmarkStart w:id="75" w:name="_Toc238818759"/>
      <w:bookmarkStart w:id="76" w:name="_Toc244176131"/>
      <w:bookmarkStart w:id="77" w:name="_Toc244176400"/>
      <w:r>
        <w:rPr>
          <w:b w:val="1"/>
          <w:color w:val="auto"/>
          <w:sz w:val="24"/>
          <w:bCs/>
          <w:szCs w:val="24"/>
          <w:rFonts w:ascii="宋体" w:hAnsi="宋体" w:eastAsia="宋体" w:hint="eastAsia"/>
        </w:rPr>
        <w:t>4</w:t>
      </w:r>
      <w:r>
        <w:rPr>
          <w:b w:val="1"/>
          <w:color w:val="auto"/>
          <w:sz w:val="24"/>
          <w:bCs/>
          <w:szCs w:val="24"/>
          <w:rFonts w:ascii="宋体" w:hAnsi="宋体" w:eastAsia="宋体"/>
        </w:rPr>
        <w:t>.2.1大屏全景展示</w:t>
      </w:r>
      <w:bookmarkEnd w:id="75"/>
      <w:bookmarkEnd w:id="76"/>
      <w:bookmarkEnd w:id="77"/>
    </w:p>
    <w:p w14:paraId="3B18F43C">
      <w:pPr>
        <w:jc w:val="left"/>
        <w:spacing w:line="360" w:lineRule="auto"/>
        <w:ind w:firstLine="480" w:firstLineChars="20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通过LCD可视化大屏，直观展示园区电力运行全貌、</w:t>
      </w:r>
      <w:r>
        <w:rPr>
          <w:color w:val="auto"/>
          <w:sz w:val="24"/>
          <w:szCs w:val="24"/>
          <w:rFonts w:ascii="Times New Roman" w:hAnsi="Times New Roman" w:eastAsia="宋体" w:cs="Times New Roman" w:hint="eastAsia"/>
        </w:rPr>
        <w:t>每</w:t>
      </w:r>
      <w:r>
        <w:rPr>
          <w:color w:val="auto"/>
          <w:sz w:val="24"/>
          <w:szCs w:val="24"/>
          <w:rFonts w:ascii="Times New Roman" w:hAnsi="Times New Roman" w:eastAsia="宋体" w:cs="Times New Roman"/>
        </w:rPr>
        <w:t>个配电室运行状态、用电</w:t>
      </w:r>
      <w:r>
        <w:rPr>
          <w:color w:val="auto"/>
          <w:sz w:val="24"/>
          <w:szCs w:val="24"/>
          <w:rFonts w:ascii="Times New Roman" w:hAnsi="Times New Roman" w:eastAsia="宋体" w:cs="Times New Roman" w:hint="eastAsia"/>
        </w:rPr>
        <w:t>数据、电气参数</w:t>
      </w:r>
      <w:r>
        <w:rPr>
          <w:color w:val="auto"/>
          <w:sz w:val="24"/>
          <w:szCs w:val="24"/>
          <w:rFonts w:ascii="Times New Roman" w:hAnsi="Times New Roman" w:eastAsia="宋体" w:cs="Times New Roman"/>
        </w:rPr>
        <w:t>等关键数据。图标热点设置，点击任意站点图标，可跳转到配电室查看相应电气参数。</w:t>
      </w:r>
    </w:p>
    <w:p w14:paraId="256D671A">
      <w:pPr>
        <w:jc w:val="left"/>
        <w:outlineLvl w:val="2"/>
        <w:spacing w:after="120" w:before="120" w:line="360" w:lineRule="auto"/>
        <w:rPr>
          <w:b w:val="1"/>
          <w:color w:val="auto"/>
          <w:sz w:val="24"/>
          <w:bCs/>
          <w:szCs w:val="24"/>
          <w:rFonts w:ascii="宋体" w:hAnsi="宋体" w:eastAsia="宋体"/>
        </w:rPr>
      </w:pPr>
      <w:bookmarkStart w:id="78" w:name="_Toc238818760"/>
      <w:bookmarkStart w:id="79" w:name="_Toc244176132"/>
      <w:bookmarkStart w:id="80" w:name="_Toc244176401"/>
      <w:r>
        <w:rPr>
          <w:b w:val="1"/>
          <w:color w:val="auto"/>
          <w:sz w:val="24"/>
          <w:bCs/>
          <w:szCs w:val="24"/>
          <w:rFonts w:ascii="宋体" w:hAnsi="宋体" w:eastAsia="宋体" w:hint="eastAsia"/>
        </w:rPr>
        <w:t>4</w:t>
      </w:r>
      <w:r>
        <w:rPr>
          <w:b w:val="1"/>
          <w:color w:val="auto"/>
          <w:sz w:val="24"/>
          <w:bCs/>
          <w:szCs w:val="24"/>
          <w:rFonts w:ascii="宋体" w:hAnsi="宋体" w:eastAsia="宋体"/>
        </w:rPr>
        <w:t>.2.2 3D实景扫描</w:t>
      </w:r>
      <w:bookmarkEnd w:id="78"/>
      <w:bookmarkEnd w:id="79"/>
      <w:bookmarkEnd w:id="80"/>
    </w:p>
    <w:p w14:paraId="711911B5">
      <w:pPr>
        <w:jc w:val="left"/>
        <w:spacing w:line="360" w:lineRule="auto"/>
        <w:ind w:firstLine="42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通过3D扫描完成变电站主变、GIS和配电室内开关柜的VR实景建模，构建站内实景三维数字场景。可还原设备真实空间布局、设备外观、电缆走向与设备相对位置关系，实现变电站实景可视化展示。运维人员可远程在三维场景内浏览设备，关联接入智能巡检、在线监测、设备台账数据，点击设备即可调取运行参数、缺陷记录、检修履历。有效弥补现场巡检盲区，减少人员进入高危作业区域频次，降低现场作业安全风险。同时为设备缺陷分析、检修方案制定、人员培训、应急推演提供实景支撑，提升变电站运维工作效率，强化变电站安全管理与数字化管控水平。</w:t>
      </w:r>
    </w:p>
    <w:p w14:paraId="74331552">
      <w:pPr>
        <w:jc w:val="left"/>
        <w:outlineLvl w:val="2"/>
        <w:spacing w:after="120" w:before="120" w:line="360" w:lineRule="auto"/>
        <w:rPr>
          <w:b w:val="1"/>
          <w:color w:val="auto"/>
          <w:sz w:val="24"/>
          <w:bCs/>
          <w:szCs w:val="24"/>
          <w:rFonts w:ascii="宋体" w:hAnsi="宋体" w:eastAsia="宋体"/>
        </w:rPr>
      </w:pPr>
      <w:bookmarkStart w:id="81" w:name="_Toc244176133"/>
      <w:bookmarkStart w:id="82" w:name="_Toc244176402"/>
      <w:bookmarkStart w:id="83" w:name="_Toc238818762"/>
      <w:r>
        <w:rPr>
          <w:b w:val="1"/>
          <w:color w:val="auto"/>
          <w:sz w:val="24"/>
          <w:bCs/>
          <w:szCs w:val="24"/>
          <w:rFonts w:ascii="宋体" w:hAnsi="宋体" w:eastAsia="宋体" w:hint="eastAsia"/>
        </w:rPr>
        <w:t>4</w:t>
      </w:r>
      <w:r>
        <w:rPr>
          <w:b w:val="1"/>
          <w:color w:val="auto"/>
          <w:sz w:val="24"/>
          <w:bCs/>
          <w:szCs w:val="24"/>
          <w:rFonts w:ascii="宋体" w:hAnsi="宋体" w:eastAsia="宋体"/>
        </w:rPr>
        <w:t>.2.3电力实时监测</w:t>
      </w:r>
      <w:bookmarkEnd w:id="81"/>
      <w:bookmarkEnd w:id="82"/>
      <w:bookmarkEnd w:id="83"/>
    </w:p>
    <w:p w14:paraId="4ED8466C">
      <w:pPr>
        <w:jc w:val="left"/>
        <w:spacing w:line="360" w:lineRule="auto"/>
        <w:ind w:firstLine="480" w:firstLineChars="20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对变电站、配电</w:t>
      </w:r>
      <w:r>
        <w:rPr>
          <w:color w:val="auto"/>
          <w:sz w:val="24"/>
          <w:szCs w:val="24"/>
          <w:rFonts w:ascii="Times New Roman" w:hAnsi="Times New Roman" w:eastAsia="宋体" w:cs="Times New Roman" w:hint="eastAsia"/>
        </w:rPr>
        <w:t>室</w:t>
      </w:r>
      <w:r>
        <w:rPr>
          <w:color w:val="auto"/>
          <w:sz w:val="24"/>
          <w:szCs w:val="24"/>
          <w:rFonts w:ascii="Times New Roman" w:hAnsi="Times New Roman" w:eastAsia="宋体" w:cs="Times New Roman"/>
        </w:rPr>
        <w:t>、光伏站的运行状态、电气参数进行24小时实时监测。显示变电站各回路的电力数据和曲线，包括电流、相电压、线电压、频率、功率因数、有功功率、无功功率、视在功率等参数，并可导出图表。</w:t>
      </w:r>
    </w:p>
    <w:p w14:paraId="1EF9A23E">
      <w:pPr>
        <w:jc w:val="left"/>
        <w:outlineLvl w:val="2"/>
        <w:spacing w:after="120" w:before="120" w:line="360" w:lineRule="auto"/>
        <w:rPr>
          <w:b w:val="1"/>
          <w:color w:val="auto"/>
          <w:sz w:val="24"/>
          <w:bCs/>
          <w:szCs w:val="24"/>
          <w:rFonts w:ascii="宋体" w:hAnsi="宋体" w:eastAsia="宋体"/>
        </w:rPr>
      </w:pPr>
      <w:bookmarkStart w:id="86" w:name="_Toc244176403"/>
      <w:bookmarkStart w:id="87" w:name="_Toc238818763"/>
      <w:bookmarkStart w:id="88" w:name="_Toc244176134"/>
      <w:r>
        <w:rPr>
          <w:b w:val="1"/>
          <w:color w:val="auto"/>
          <w:sz w:val="24"/>
          <w:bCs/>
          <w:szCs w:val="24"/>
          <w:rFonts w:ascii="宋体" w:hAnsi="宋体" w:eastAsia="宋体" w:hint="eastAsia"/>
        </w:rPr>
        <w:t>4</w:t>
      </w:r>
      <w:r>
        <w:rPr>
          <w:b w:val="1"/>
          <w:color w:val="auto"/>
          <w:sz w:val="24"/>
          <w:bCs/>
          <w:szCs w:val="24"/>
          <w:rFonts w:ascii="宋体" w:hAnsi="宋体" w:eastAsia="宋体"/>
        </w:rPr>
        <w:t>.2.4电气接线图</w:t>
      </w:r>
      <w:bookmarkEnd w:id="86"/>
      <w:bookmarkEnd w:id="87"/>
      <w:bookmarkEnd w:id="88"/>
    </w:p>
    <w:p w14:paraId="69D1EF60">
      <w:pPr>
        <w:spacing w:line="360" w:lineRule="auto"/>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系统</w:t>
      </w:r>
      <w:r>
        <w:rPr>
          <w:color w:val="auto"/>
          <w:sz w:val="24"/>
          <w:szCs w:val="24"/>
          <w:rFonts w:ascii="Times New Roman" w:hAnsi="Times New Roman" w:eastAsia="宋体" w:cs="Times New Roman" w:hint="eastAsia"/>
        </w:rPr>
        <w:t>可以</w:t>
      </w:r>
      <w:r>
        <w:rPr>
          <w:color w:val="auto"/>
          <w:sz w:val="24"/>
          <w:szCs w:val="24"/>
          <w:rFonts w:ascii="Times New Roman" w:hAnsi="Times New Roman" w:eastAsia="宋体" w:cs="Times New Roman"/>
        </w:rPr>
        <w:t>直观展示一次系统主接线图及设备运行状态，实现电网运行工况实时监控与快速研判。支持点击任意支路可跳转到对应支路一次系统图，并实时呈现该支路电气参数信息。</w:t>
      </w:r>
    </w:p>
    <w:p w14:paraId="35D92153">
      <w:pPr>
        <w:jc w:val="left"/>
        <w:outlineLvl w:val="2"/>
        <w:spacing w:after="120" w:before="120" w:line="360" w:lineRule="auto"/>
        <w:rPr>
          <w:b w:val="1"/>
          <w:color w:val="auto"/>
          <w:sz w:val="24"/>
          <w:bCs/>
          <w:szCs w:val="24"/>
          <w:rFonts w:ascii="宋体" w:hAnsi="宋体" w:eastAsia="宋体"/>
        </w:rPr>
      </w:pPr>
      <w:bookmarkStart w:id="89" w:name="_Toc244176135"/>
      <w:bookmarkStart w:id="90" w:name="_Toc244176404"/>
      <w:bookmarkStart w:id="91" w:name="_Toc238818764"/>
      <w:r>
        <w:rPr>
          <w:b w:val="1"/>
          <w:color w:val="auto"/>
          <w:sz w:val="24"/>
          <w:bCs/>
          <w:szCs w:val="24"/>
          <w:rFonts w:ascii="宋体" w:hAnsi="宋体" w:eastAsia="宋体" w:hint="eastAsia"/>
        </w:rPr>
        <w:t>4</w:t>
      </w:r>
      <w:r>
        <w:rPr>
          <w:b w:val="1"/>
          <w:color w:val="auto"/>
          <w:sz w:val="24"/>
          <w:bCs/>
          <w:szCs w:val="24"/>
          <w:rFonts w:ascii="宋体" w:hAnsi="宋体" w:eastAsia="宋体"/>
        </w:rPr>
        <w:t>.2.5重点设备监测</w:t>
      </w:r>
      <w:bookmarkEnd w:id="89"/>
      <w:bookmarkEnd w:id="90"/>
      <w:bookmarkEnd w:id="91"/>
    </w:p>
    <w:p w14:paraId="65E032C2">
      <w:pPr>
        <w:jc w:val="left"/>
        <w:spacing w:line="360" w:lineRule="auto"/>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对变电站内的变压器、断路器、逆变器、SVG等重点设备的运行状态、温度、电流、电压等电气参数进行远程实时监控，可随时掌握设备运行状况，及时发现过载、过热、异常波动等隐患，避免故障扩大引发停电或设备损坏。提升运维效率，减少现场巡检，提前发现问题。</w:t>
      </w:r>
    </w:p>
    <w:p w14:paraId="7BE277D0">
      <w:pPr>
        <w:jc w:val="left"/>
        <w:outlineLvl w:val="2"/>
        <w:spacing w:after="120" w:before="120" w:line="360" w:lineRule="auto"/>
        <w:rPr>
          <w:b w:val="1"/>
          <w:color w:val="auto"/>
          <w:sz w:val="24"/>
          <w:bCs/>
          <w:szCs w:val="24"/>
          <w:rFonts w:ascii="宋体" w:hAnsi="宋体" w:eastAsia="宋体"/>
        </w:rPr>
      </w:pPr>
      <w:bookmarkStart w:id="92" w:name="_Toc238818765"/>
      <w:bookmarkStart w:id="93" w:name="_Toc244176136"/>
      <w:bookmarkStart w:id="94" w:name="_Toc244176405"/>
      <w:r>
        <w:rPr>
          <w:b w:val="1"/>
          <w:color w:val="auto"/>
          <w:sz w:val="24"/>
          <w:bCs/>
          <w:szCs w:val="24"/>
          <w:rFonts w:ascii="宋体" w:hAnsi="宋体" w:eastAsia="宋体" w:hint="eastAsia"/>
        </w:rPr>
        <w:t>4</w:t>
      </w:r>
      <w:r>
        <w:rPr>
          <w:b w:val="1"/>
          <w:color w:val="auto"/>
          <w:sz w:val="24"/>
          <w:bCs/>
          <w:szCs w:val="24"/>
          <w:rFonts w:ascii="宋体" w:hAnsi="宋体" w:eastAsia="宋体"/>
        </w:rPr>
        <w:t>.2.6能耗总览</w:t>
      </w:r>
      <w:bookmarkEnd w:id="92"/>
      <w:bookmarkEnd w:id="93"/>
      <w:bookmarkEnd w:id="94"/>
    </w:p>
    <w:p w14:paraId="3A1B5070">
      <w:pPr>
        <w:jc w:val="left"/>
        <w:spacing w:line="360" w:lineRule="auto"/>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系统具备能耗总览功能，通过能流图、柱状图等可视化形式直观展示用电分布、能耗流向与用能数据，实现全局能耗状况的清晰监测与统一管控。</w:t>
      </w:r>
    </w:p>
    <w:p w14:paraId="527E8D37">
      <w:pPr>
        <w:jc w:val="left"/>
        <w:outlineLvl w:val="2"/>
        <w:spacing w:after="120" w:before="120" w:line="360" w:lineRule="auto"/>
        <w:rPr>
          <w:b w:val="1"/>
          <w:color w:val="auto"/>
          <w:sz w:val="24"/>
          <w:bCs/>
          <w:szCs w:val="24"/>
          <w:rFonts w:ascii="宋体" w:hAnsi="宋体" w:eastAsia="宋体"/>
        </w:rPr>
      </w:pPr>
      <w:bookmarkStart w:id="95" w:name="_Toc238818766"/>
      <w:bookmarkStart w:id="96" w:name="_Toc244176406"/>
      <w:bookmarkStart w:id="97" w:name="_Toc244176137"/>
      <w:r>
        <w:rPr>
          <w:b w:val="1"/>
          <w:color w:val="auto"/>
          <w:sz w:val="24"/>
          <w:bCs/>
          <w:szCs w:val="24"/>
          <w:rFonts w:ascii="宋体" w:hAnsi="宋体" w:eastAsia="宋体" w:hint="eastAsia"/>
        </w:rPr>
        <w:t>4</w:t>
      </w:r>
      <w:r>
        <w:rPr>
          <w:b w:val="1"/>
          <w:color w:val="auto"/>
          <w:sz w:val="24"/>
          <w:bCs/>
          <w:szCs w:val="24"/>
          <w:rFonts w:ascii="宋体" w:hAnsi="宋体" w:eastAsia="宋体"/>
        </w:rPr>
        <w:t>.2.7用能分析</w:t>
      </w:r>
      <w:bookmarkEnd w:id="95"/>
      <w:bookmarkEnd w:id="96"/>
      <w:bookmarkEnd w:id="97"/>
    </w:p>
    <w:p w14:paraId="5BFC6AE5">
      <w:pPr>
        <w:jc w:val="left"/>
        <w:spacing w:line="360" w:lineRule="auto"/>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用电分析包括同比分析、环比分析、远程抄表、计量及分时用电。支持任意时段电能同比、环比及排名分析，用电重点和异常点一目了然。</w:t>
      </w:r>
    </w:p>
    <w:p w14:paraId="7D9DACF4">
      <w:pPr>
        <w:jc w:val="left"/>
        <w:outlineLvl w:val="2"/>
        <w:spacing w:after="120" w:before="120" w:line="360" w:lineRule="auto"/>
        <w:rPr>
          <w:b w:val="1"/>
          <w:color w:val="auto"/>
          <w:sz w:val="24"/>
          <w:bCs/>
          <w:szCs w:val="24"/>
          <w:rFonts w:ascii="宋体" w:hAnsi="宋体" w:eastAsia="宋体"/>
        </w:rPr>
      </w:pPr>
      <w:bookmarkStart w:id="98" w:name="_Toc244176138"/>
      <w:bookmarkStart w:id="99" w:name="_Toc238818767"/>
      <w:bookmarkStart w:id="100" w:name="_Toc244176407"/>
      <w:r>
        <w:rPr>
          <w:b w:val="1"/>
          <w:color w:val="auto"/>
          <w:sz w:val="24"/>
          <w:bCs/>
          <w:szCs w:val="24"/>
          <w:rFonts w:ascii="宋体" w:hAnsi="宋体" w:eastAsia="宋体" w:hint="eastAsia"/>
        </w:rPr>
        <w:t>4</w:t>
      </w:r>
      <w:r>
        <w:rPr>
          <w:b w:val="1"/>
          <w:color w:val="auto"/>
          <w:sz w:val="24"/>
          <w:bCs/>
          <w:szCs w:val="24"/>
          <w:rFonts w:ascii="宋体" w:hAnsi="宋体" w:eastAsia="宋体"/>
        </w:rPr>
        <w:t>.2.8电能质量监测</w:t>
      </w:r>
      <w:bookmarkEnd w:id="98"/>
      <w:bookmarkEnd w:id="99"/>
      <w:bookmarkEnd w:id="100"/>
    </w:p>
    <w:p w14:paraId="3211E657">
      <w:pPr>
        <w:jc w:val="left"/>
        <w:spacing w:line="360" w:lineRule="auto"/>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具有电能质量实时评估、三相不平衡分析功能。对电能质量数据进行平台化展示，实时查询系统的电压、频率、功率因数等影响因子，并给予评分。对采集到的电能质量因子进行雷达图展示，对标系统指标，生成评估报告。</w:t>
      </w:r>
    </w:p>
    <w:p w14:paraId="1DDEB1CE">
      <w:pPr>
        <w:jc w:val="left"/>
        <w:outlineLvl w:val="2"/>
        <w:spacing w:after="120" w:before="120" w:line="360" w:lineRule="auto"/>
        <w:rPr>
          <w:b w:val="1"/>
          <w:color w:val="auto"/>
          <w:sz w:val="24"/>
          <w:bCs/>
          <w:szCs w:val="24"/>
          <w:rFonts w:ascii="宋体" w:hAnsi="宋体" w:eastAsia="宋体"/>
        </w:rPr>
      </w:pPr>
      <w:bookmarkStart w:id="101" w:name="_Toc244176408"/>
      <w:bookmarkStart w:id="102" w:name="_Toc244176139"/>
      <w:r>
        <w:rPr>
          <w:b w:val="1"/>
          <w:color w:val="auto"/>
          <w:sz w:val="24"/>
          <w:bCs/>
          <w:szCs w:val="24"/>
          <w:rFonts w:ascii="宋体" w:hAnsi="宋体" w:eastAsia="宋体" w:hint="eastAsia"/>
        </w:rPr>
        <w:t>4</w:t>
      </w:r>
      <w:r>
        <w:rPr>
          <w:b w:val="1"/>
          <w:color w:val="auto"/>
          <w:sz w:val="24"/>
          <w:bCs/>
          <w:szCs w:val="24"/>
          <w:rFonts w:ascii="宋体" w:hAnsi="宋体" w:eastAsia="宋体"/>
        </w:rPr>
        <w:t>.2.9</w:t>
      </w:r>
      <w:r>
        <w:rPr>
          <w:b w:val="1"/>
          <w:color w:val="auto"/>
          <w:sz w:val="24"/>
          <w:bCs/>
          <w:szCs w:val="24"/>
          <w:rFonts w:ascii="宋体" w:hAnsi="宋体" w:eastAsia="宋体" w:hint="eastAsia"/>
        </w:rPr>
        <w:t>定值</w:t>
      </w:r>
      <w:r>
        <w:rPr>
          <w:b w:val="1"/>
          <w:color w:val="auto"/>
          <w:sz w:val="24"/>
          <w:bCs/>
          <w:szCs w:val="24"/>
          <w:rFonts w:ascii="宋体" w:hAnsi="宋体" w:eastAsia="宋体"/>
        </w:rPr>
        <w:t>管理</w:t>
      </w:r>
      <w:bookmarkEnd w:id="101"/>
      <w:bookmarkEnd w:id="102"/>
    </w:p>
    <w:p w14:paraId="3EF0CD7B">
      <w:pPr>
        <w:widowControl w:val="1"/>
        <w:jc w:val="left"/>
        <w:spacing w:line="360" w:lineRule="auto"/>
        <w:rPr>
          <w:color w:val="auto"/>
          <w:sz w:val="24"/>
          <w:kern w:val="0"/>
          <w:szCs w:val="24"/>
          <w:rFonts w:ascii="宋体" w:hAnsi="宋体" w:eastAsia="宋体" w:cs="宋体" w:hint="eastAsia"/>
        </w:rPr>
      </w:pPr>
      <w:r>
        <w:rPr>
          <w:color w:val="auto"/>
          <w:sz w:val="24"/>
          <w:kern w:val="0"/>
          <w:szCs w:val="24"/>
          <w:rFonts w:ascii="宋体" w:hAnsi="宋体" w:eastAsia="宋体" w:cs="宋体" w:hint="eastAsia"/>
        </w:rPr>
        <w:t>定值管理能够协助用户提升供电质量。</w:t>
      </w:r>
      <w:r>
        <w:rPr>
          <w:color w:val="auto"/>
          <w:sz w:val="24"/>
          <w:kern w:val="0"/>
          <w:szCs w:val="24"/>
          <w:rFonts w:ascii="宋体" w:hAnsi="宋体" w:eastAsia="宋体" w:cs="宋体"/>
        </w:rPr>
        <w:t xml:space="preserve"> 现场设备厂家</w:t>
      </w:r>
      <w:r>
        <w:rPr>
          <w:color w:val="auto"/>
          <w:sz w:val="24"/>
          <w:kern w:val="0"/>
          <w:szCs w:val="24"/>
          <w:rFonts w:ascii="宋体" w:hAnsi="宋体" w:eastAsia="宋体" w:cs="宋体" w:hint="eastAsia"/>
        </w:rPr>
        <w:t>较</w:t>
      </w:r>
      <w:r>
        <w:rPr>
          <w:color w:val="auto"/>
          <w:sz w:val="24"/>
          <w:kern w:val="0"/>
          <w:szCs w:val="24"/>
          <w:rFonts w:ascii="宋体" w:hAnsi="宋体" w:eastAsia="宋体" w:cs="宋体"/>
        </w:rPr>
        <w:t>多，各家保护</w:t>
      </w:r>
      <w:r>
        <w:rPr>
          <w:color w:val="auto"/>
          <w:sz w:val="24"/>
          <w:kern w:val="0"/>
          <w:szCs w:val="24"/>
          <w:rFonts w:ascii="宋体" w:hAnsi="宋体" w:eastAsia="宋体" w:cs="宋体" w:hint="eastAsia"/>
        </w:rPr>
        <w:t>装置定值</w:t>
      </w:r>
      <w:r>
        <w:rPr>
          <w:color w:val="auto"/>
          <w:sz w:val="24"/>
          <w:kern w:val="0"/>
          <w:szCs w:val="24"/>
          <w:rFonts w:ascii="宋体" w:hAnsi="宋体" w:eastAsia="宋体" w:cs="宋体"/>
        </w:rPr>
        <w:t>输入方法不统一，</w:t>
      </w:r>
      <w:r>
        <w:rPr>
          <w:color w:val="auto"/>
          <w:sz w:val="24"/>
          <w:kern w:val="0"/>
          <w:szCs w:val="24"/>
          <w:rFonts w:ascii="宋体" w:hAnsi="宋体" w:eastAsia="宋体" w:cs="宋体" w:hint="eastAsia"/>
        </w:rPr>
        <w:t>系统</w:t>
      </w:r>
      <w:r>
        <w:rPr>
          <w:color w:val="auto"/>
          <w:sz w:val="24"/>
          <w:kern w:val="0"/>
          <w:szCs w:val="24"/>
          <w:rFonts w:ascii="宋体" w:hAnsi="宋体" w:eastAsia="宋体" w:cs="宋体"/>
        </w:rPr>
        <w:t>可实现定值远程下发，降低运维人员工作难度，提高运维人员工作效率</w:t>
      </w:r>
      <w:r>
        <w:rPr>
          <w:color w:val="auto"/>
          <w:sz w:val="24"/>
          <w:kern w:val="0"/>
          <w:szCs w:val="24"/>
          <w:rFonts w:ascii="宋体" w:hAnsi="宋体" w:eastAsia="宋体" w:cs="宋体" w:hint="eastAsia"/>
        </w:rPr>
        <w:t>。实现了变电站</w:t>
      </w:r>
      <w:r>
        <w:rPr>
          <w:color w:val="auto"/>
          <w:sz w:val="24"/>
          <w:kern w:val="0"/>
          <w:szCs w:val="24"/>
          <w:rFonts w:ascii="宋体" w:hAnsi="宋体" w:eastAsia="宋体" w:cs="宋体"/>
        </w:rPr>
        <w:t>定值集中管控。</w:t>
      </w:r>
    </w:p>
    <w:p w14:paraId="30F429D1">
      <w:pPr>
        <w:jc w:val="left"/>
        <w:spacing w:line="360" w:lineRule="auto"/>
        <w:rPr>
          <w:color w:val="auto"/>
          <w:sz w:val="24"/>
          <w:szCs w:val="24"/>
          <w:rFonts w:ascii="Times New Roman" w:hAnsi="Times New Roman" w:eastAsia="宋体" w:cs="Times New Roman"/>
        </w:rPr>
      </w:pPr>
    </w:p>
    <w:p w14:paraId="73BE6C6C">
      <w:pPr>
        <w:jc w:val="left"/>
        <w:outlineLvl w:val="2"/>
        <w:spacing w:after="120" w:before="120" w:line="360" w:lineRule="auto"/>
        <w:rPr>
          <w:b w:val="1"/>
          <w:color w:val="auto"/>
          <w:sz w:val="24"/>
          <w:bCs/>
          <w:szCs w:val="24"/>
          <w:rFonts w:ascii="宋体" w:hAnsi="宋体" w:eastAsia="宋体"/>
        </w:rPr>
      </w:pPr>
      <w:bookmarkStart w:id="103" w:name="_Toc238818768"/>
      <w:bookmarkStart w:id="104" w:name="_Toc244176140"/>
      <w:bookmarkStart w:id="105" w:name="_Toc244176409"/>
      <w:r>
        <w:rPr>
          <w:b w:val="1"/>
          <w:color w:val="auto"/>
          <w:sz w:val="24"/>
          <w:bCs/>
          <w:szCs w:val="24"/>
          <w:rFonts w:ascii="宋体" w:hAnsi="宋体" w:eastAsia="宋体" w:hint="eastAsia"/>
        </w:rPr>
        <w:t>4</w:t>
      </w:r>
      <w:r>
        <w:rPr>
          <w:b w:val="1"/>
          <w:color w:val="auto"/>
          <w:sz w:val="24"/>
          <w:bCs/>
          <w:szCs w:val="24"/>
          <w:rFonts w:ascii="宋体" w:hAnsi="宋体" w:eastAsia="宋体"/>
        </w:rPr>
        <w:t>.2.10用能实时查询</w:t>
      </w:r>
      <w:bookmarkEnd w:id="103"/>
      <w:bookmarkEnd w:id="104"/>
      <w:bookmarkEnd w:id="105"/>
    </w:p>
    <w:p w14:paraId="6B525CC0">
      <w:pPr>
        <w:spacing w:line="360" w:lineRule="auto"/>
        <w:rPr>
          <w:color w:val="auto"/>
          <w:sz w:val="24"/>
          <w:szCs w:val="24"/>
          <w:rFonts w:ascii="Times New Roman" w:hAnsi="Times New Roman" w:eastAsia="宋体" w:cs="Times New Roman"/>
        </w:rPr>
      </w:pPr>
      <w:r>
        <w:rPr>
          <w:color w:val="auto"/>
          <w:sz w:val="24"/>
          <w:szCs w:val="24"/>
          <w:rFonts w:ascii="Times New Roman" w:hAnsi="Times New Roman" w:eastAsia="宋体" w:cs="Times New Roman" w:hint="eastAsia"/>
        </w:rPr>
        <w:t>可以</w:t>
      </w:r>
      <w:r>
        <w:rPr>
          <w:color w:val="auto"/>
          <w:sz w:val="24"/>
          <w:szCs w:val="24"/>
          <w:rFonts w:ascii="Times New Roman" w:hAnsi="Times New Roman" w:eastAsia="宋体" w:cs="Times New Roman"/>
        </w:rPr>
        <w:t>灵活配置支路、分项、部门用能，配置后一键选择，即可清晰直观看到该支项的用电量累计、今日昨日用能曲线、占比、日月年用能统计查询等。为园区建立用电预测、计划、考核等一整套完善的管理体系，使变电站实现电能使用的全面可视化。</w:t>
      </w:r>
    </w:p>
    <w:p w14:paraId="0D9A3384">
      <w:pPr>
        <w:spacing w:line="360" w:lineRule="auto"/>
        <w:rPr>
          <w:color w:val="auto"/>
          <w:sz w:val="24"/>
          <w:szCs w:val="24"/>
          <w:rFonts w:ascii="Times New Roman" w:hAnsi="Times New Roman" w:eastAsia="宋体" w:cs="Times New Roman"/>
        </w:rPr>
      </w:pPr>
    </w:p>
    <w:p w14:paraId="39EAE6FF">
      <w:pPr>
        <w:jc w:val="left"/>
        <w:outlineLvl w:val="2"/>
        <w:spacing w:after="120" w:before="120" w:line="360" w:lineRule="auto"/>
        <w:rPr>
          <w:b w:val="1"/>
          <w:color w:val="auto"/>
          <w:sz w:val="24"/>
          <w:bCs/>
          <w:szCs w:val="24"/>
          <w:rFonts w:ascii="宋体" w:hAnsi="宋体" w:eastAsia="宋体"/>
        </w:rPr>
      </w:pPr>
      <w:bookmarkStart w:id="106" w:name="_Toc244176410"/>
      <w:bookmarkStart w:id="107" w:name="_Toc238818769"/>
      <w:bookmarkStart w:id="108" w:name="_Toc244176141"/>
      <w:r>
        <w:rPr>
          <w:b w:val="1"/>
          <w:color w:val="auto"/>
          <w:sz w:val="24"/>
          <w:bCs/>
          <w:szCs w:val="24"/>
          <w:rFonts w:ascii="宋体" w:hAnsi="宋体" w:eastAsia="宋体" w:hint="eastAsia"/>
        </w:rPr>
        <w:t>4</w:t>
      </w:r>
      <w:r>
        <w:rPr>
          <w:b w:val="1"/>
          <w:color w:val="auto"/>
          <w:sz w:val="24"/>
          <w:bCs/>
          <w:szCs w:val="24"/>
          <w:rFonts w:ascii="宋体" w:hAnsi="宋体" w:eastAsia="宋体"/>
        </w:rPr>
        <w:t>.2.11用能报表</w:t>
      </w:r>
      <w:bookmarkEnd w:id="106"/>
      <w:bookmarkEnd w:id="107"/>
      <w:bookmarkEnd w:id="108"/>
    </w:p>
    <w:p w14:paraId="03AC88AD">
      <w:pPr>
        <w:spacing w:line="360" w:lineRule="auto"/>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系统可根据用户需求，按照支路、分项、部门等对用能数据进行累加，按日、月、年以及用户自定义时间段，可查阅到用能日报表、月报表，年报表。各时间段和支路用能情况一张报表体现，清晰直观。</w:t>
      </w:r>
    </w:p>
    <w:p w14:paraId="0D0405A1">
      <w:pPr>
        <w:jc w:val="center"/>
        <w:spacing w:line="360" w:lineRule="auto"/>
        <w:rPr>
          <w:color w:val="auto"/>
          <w:sz w:val="24"/>
          <w:szCs w:val="24"/>
          <w:rFonts w:ascii="Times New Roman" w:hAnsi="Times New Roman" w:eastAsia="宋体" w:cs="Times New Roman"/>
        </w:rPr>
      </w:pPr>
    </w:p>
    <w:p w14:paraId="4AD613D8">
      <w:pPr>
        <w:jc w:val="left"/>
        <w:outlineLvl w:val="2"/>
        <w:spacing w:after="120" w:before="120" w:line="360" w:lineRule="auto"/>
        <w:rPr>
          <w:b w:val="1"/>
          <w:color w:val="auto"/>
          <w:sz w:val="24"/>
          <w:bCs/>
          <w:szCs w:val="24"/>
          <w:rFonts w:ascii="宋体" w:hAnsi="宋体" w:eastAsia="宋体"/>
        </w:rPr>
      </w:pPr>
      <w:bookmarkStart w:id="109" w:name="_Toc244176411"/>
      <w:bookmarkStart w:id="110" w:name="_Toc244176142"/>
      <w:bookmarkStart w:id="111" w:name="_Toc238818770"/>
      <w:r>
        <w:rPr>
          <w:b w:val="1"/>
          <w:color w:val="auto"/>
          <w:sz w:val="24"/>
          <w:bCs/>
          <w:szCs w:val="24"/>
          <w:rFonts w:ascii="宋体" w:hAnsi="宋体" w:eastAsia="宋体" w:hint="eastAsia"/>
        </w:rPr>
        <w:t>4</w:t>
      </w:r>
      <w:r>
        <w:rPr>
          <w:b w:val="1"/>
          <w:color w:val="auto"/>
          <w:sz w:val="24"/>
          <w:bCs/>
          <w:szCs w:val="24"/>
          <w:rFonts w:ascii="宋体" w:hAnsi="宋体" w:eastAsia="宋体"/>
        </w:rPr>
        <w:t>.2.12告警管理</w:t>
      </w:r>
      <w:bookmarkEnd w:id="109"/>
      <w:bookmarkEnd w:id="110"/>
      <w:bookmarkEnd w:id="111"/>
    </w:p>
    <w:p w14:paraId="11C41D10">
      <w:pPr>
        <w:jc w:val="left"/>
        <w:spacing w:line="360" w:lineRule="auto"/>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实现对变电站内各类告警信息的统计和管理。实现即时告警，精准定位。告警信息可设定等级，可分组/分区。不同的告警可设定通知给不同的用户。告警通知支持语音、APP通知等方式。客户可根据故障分析结果，给出处理措施。</w:t>
      </w:r>
    </w:p>
    <w:p w14:paraId="350F59EF">
      <w:pPr>
        <w:rPr>
          <w:color w:val="auto"/>
          <w:sz w:val="24"/>
          <w:szCs w:val="24"/>
          <w:rFonts w:ascii="Times New Roman" w:hAnsi="Times New Roman" w:eastAsia="宋体" w:cs="Times New Roman"/>
        </w:rPr>
      </w:pPr>
    </w:p>
    <w:p w14:paraId="28F9FDF1">
      <w:pPr>
        <w:jc w:val="left"/>
        <w:outlineLvl w:val="2"/>
        <w:spacing w:after="120" w:before="120" w:line="360" w:lineRule="auto"/>
        <w:rPr>
          <w:b w:val="1"/>
          <w:color w:val="auto"/>
          <w:sz w:val="24"/>
          <w:bCs/>
          <w:szCs w:val="24"/>
          <w:rFonts w:ascii="宋体" w:hAnsi="宋体" w:eastAsia="宋体"/>
        </w:rPr>
      </w:pPr>
      <w:bookmarkStart w:id="112" w:name="_Toc244176143"/>
      <w:bookmarkStart w:id="113" w:name="_Toc238818771"/>
      <w:bookmarkStart w:id="114" w:name="_Toc244176412"/>
      <w:r>
        <w:rPr>
          <w:b w:val="1"/>
          <w:color w:val="auto"/>
          <w:sz w:val="24"/>
          <w:bCs/>
          <w:szCs w:val="24"/>
          <w:rFonts w:ascii="宋体" w:hAnsi="宋体" w:eastAsia="宋体" w:hint="eastAsia"/>
        </w:rPr>
        <w:t>4</w:t>
      </w:r>
      <w:r>
        <w:rPr>
          <w:b w:val="1"/>
          <w:color w:val="auto"/>
          <w:sz w:val="24"/>
          <w:bCs/>
          <w:szCs w:val="24"/>
          <w:rFonts w:ascii="宋体" w:hAnsi="宋体" w:eastAsia="宋体"/>
        </w:rPr>
        <w:t xml:space="preserve">.2.13 </w:t>
      </w:r>
      <w:r>
        <w:rPr>
          <w:b w:val="1"/>
          <w:color w:val="auto"/>
          <w:sz w:val="24"/>
          <w:bCs/>
          <w:szCs w:val="24"/>
          <w:rFonts w:ascii="宋体" w:hAnsi="宋体" w:eastAsia="宋体" w:hint="eastAsia"/>
        </w:rPr>
        <w:t>辅助</w:t>
      </w:r>
      <w:r>
        <w:rPr>
          <w:b w:val="1"/>
          <w:color w:val="auto"/>
          <w:sz w:val="24"/>
          <w:bCs/>
          <w:szCs w:val="24"/>
          <w:rFonts w:ascii="宋体" w:hAnsi="宋体" w:eastAsia="宋体"/>
        </w:rPr>
        <w:t>监控系统</w:t>
      </w:r>
      <w:bookmarkEnd w:id="112"/>
      <w:bookmarkEnd w:id="113"/>
      <w:bookmarkEnd w:id="114"/>
    </w:p>
    <w:p w14:paraId="12D4D03E">
      <w:pPr>
        <w:spacing w:line="360" w:lineRule="auto"/>
        <w:ind w:firstLine="360" w:firstLineChars="150"/>
        <w:rPr>
          <w:color w:val="auto"/>
          <w:sz w:val="24"/>
          <w:szCs w:val="24"/>
          <w:rFonts w:ascii="Times New Roman" w:hAnsi="Times New Roman" w:eastAsia="宋体" w:cs="Times New Roman"/>
        </w:rPr>
      </w:pPr>
      <w:r>
        <w:rPr>
          <w:color w:val="auto"/>
          <w:sz w:val="24"/>
          <w:szCs w:val="24"/>
          <w:rFonts w:ascii="Times New Roman" w:hAnsi="Times New Roman" w:eastAsia="宋体" w:cs="Times New Roman"/>
        </w:rPr>
        <w:t>变电站的</w:t>
      </w:r>
      <w:r>
        <w:rPr>
          <w:color w:val="auto"/>
          <w:sz w:val="24"/>
          <w:szCs w:val="24"/>
          <w:rFonts w:ascii="Times New Roman" w:hAnsi="Times New Roman" w:eastAsia="宋体" w:cs="Times New Roman" w:hint="eastAsia"/>
        </w:rPr>
        <w:t>配电房辅助</w:t>
      </w:r>
      <w:r>
        <w:rPr>
          <w:color w:val="auto"/>
          <w:sz w:val="24"/>
          <w:szCs w:val="24"/>
          <w:rFonts w:ascii="Times New Roman" w:hAnsi="Times New Roman" w:eastAsia="宋体" w:cs="Times New Roman"/>
        </w:rPr>
        <w:t>监控系统集成环境</w:t>
      </w:r>
      <w:r>
        <w:rPr>
          <w:color w:val="auto"/>
          <w:sz w:val="24"/>
          <w:szCs w:val="24"/>
          <w:rFonts w:ascii="Times New Roman" w:hAnsi="Times New Roman" w:eastAsia="宋体" w:cs="Times New Roman" w:hint="eastAsia"/>
        </w:rPr>
        <w:t>温湿度</w:t>
      </w:r>
      <w:r>
        <w:rPr>
          <w:color w:val="auto"/>
          <w:sz w:val="24"/>
          <w:szCs w:val="24"/>
          <w:rFonts w:ascii="Times New Roman" w:hAnsi="Times New Roman" w:eastAsia="宋体" w:cs="Times New Roman"/>
        </w:rPr>
        <w:t>、</w:t>
      </w:r>
      <w:r>
        <w:rPr>
          <w:color w:val="auto"/>
          <w:sz w:val="24"/>
          <w:szCs w:val="24"/>
          <w:rFonts w:ascii="Times New Roman" w:hAnsi="Times New Roman" w:eastAsia="宋体" w:cs="Times New Roman" w:hint="eastAsia"/>
        </w:rPr>
        <w:t>SF</w:t>
      </w:r>
      <w:r>
        <w:rPr>
          <w:color w:val="auto"/>
          <w:sz w:val="24"/>
          <w:szCs w:val="24"/>
          <w:rFonts w:ascii="Times New Roman" w:hAnsi="Times New Roman" w:eastAsia="宋体" w:cs="Times New Roman"/>
        </w:rPr>
        <w:t>6</w:t>
      </w:r>
      <w:r>
        <w:rPr>
          <w:color w:val="auto"/>
          <w:sz w:val="24"/>
          <w:szCs w:val="24"/>
          <w:rFonts w:ascii="Times New Roman" w:hAnsi="Times New Roman" w:eastAsia="宋体" w:cs="Times New Roman" w:hint="eastAsia"/>
        </w:rPr>
        <w:t>气体、</w:t>
      </w:r>
      <w:r>
        <w:rPr>
          <w:color w:val="auto"/>
          <w:sz w:val="24"/>
          <w:szCs w:val="24"/>
          <w:rFonts w:ascii="Times New Roman" w:hAnsi="Times New Roman" w:eastAsia="宋体" w:cs="Times New Roman"/>
        </w:rPr>
        <w:t>水浸、空调、视频安防、消防</w:t>
      </w:r>
      <w:r>
        <w:rPr>
          <w:color w:val="auto"/>
          <w:sz w:val="24"/>
          <w:szCs w:val="24"/>
          <w:rFonts w:ascii="Times New Roman" w:hAnsi="Times New Roman" w:eastAsia="宋体" w:cs="Times New Roman" w:hint="eastAsia"/>
        </w:rPr>
        <w:t>及</w:t>
      </w:r>
      <w:r>
        <w:rPr>
          <w:color w:val="auto"/>
          <w:sz w:val="24"/>
          <w:szCs w:val="24"/>
          <w:rFonts w:ascii="Times New Roman" w:hAnsi="Times New Roman" w:eastAsia="宋体" w:cs="Times New Roman"/>
        </w:rPr>
        <w:t>智能锁控多类子系统，实时采集</w:t>
      </w:r>
      <w:r>
        <w:rPr>
          <w:color w:val="auto"/>
          <w:sz w:val="24"/>
          <w:szCs w:val="24"/>
          <w:rFonts w:ascii="Times New Roman" w:hAnsi="Times New Roman" w:eastAsia="宋体" w:cs="Times New Roman" w:hint="eastAsia"/>
        </w:rPr>
        <w:t>配电房</w:t>
      </w:r>
      <w:r>
        <w:rPr>
          <w:color w:val="auto"/>
          <w:sz w:val="24"/>
          <w:szCs w:val="24"/>
          <w:rFonts w:ascii="Times New Roman" w:hAnsi="Times New Roman" w:eastAsia="宋体" w:cs="Times New Roman"/>
        </w:rPr>
        <w:t>内温湿度、水浸等环境数据，实现门禁权限管理、视频监视、火灾报警信号接入。异常情况自动触发告警，数据统一上传运维管理平台，实现无人值班变电站环境安防远程监管，保障站内设备安全稳定运行。</w:t>
      </w:r>
    </w:p>
    <w:p w14:paraId="074B3225">
      <w:pPr>
        <w:rPr>
          <w:color w:val="auto"/>
          <w:rFonts w:ascii="Times New Roman" w:hAnsi="Times New Roman" w:eastAsia="宋体" w:cs="Times New Roman"/>
        </w:rPr>
      </w:pPr>
    </w:p>
    <w:p w14:paraId="57E63326">
      <w:pPr>
        <w:jc w:val="left"/>
        <w:outlineLvl w:val="2"/>
        <w:spacing w:after="120" w:before="120" w:line="360" w:lineRule="auto"/>
        <w:rPr>
          <w:b w:val="1"/>
          <w:color w:val="auto"/>
          <w:sz w:val="24"/>
          <w:bCs/>
          <w:szCs w:val="24"/>
          <w:rFonts w:ascii="宋体" w:hAnsi="宋体" w:eastAsia="宋体"/>
        </w:rPr>
      </w:pPr>
      <w:bookmarkStart w:id="115" w:name="_Toc238818772"/>
      <w:bookmarkStart w:id="116" w:name="_Toc244176144"/>
      <w:bookmarkStart w:id="117" w:name="_Toc135680815"/>
      <w:bookmarkStart w:id="118" w:name="_Toc244176413"/>
      <w:r>
        <w:rPr>
          <w:b w:val="1"/>
          <w:color w:val="auto"/>
          <w:sz w:val="24"/>
          <w:bCs/>
          <w:szCs w:val="24"/>
          <w:rFonts w:ascii="宋体" w:hAnsi="宋体" w:eastAsia="宋体" w:hint="eastAsia"/>
        </w:rPr>
        <w:t>4</w:t>
      </w:r>
      <w:r>
        <w:rPr>
          <w:b w:val="1"/>
          <w:color w:val="auto"/>
          <w:sz w:val="24"/>
          <w:bCs/>
          <w:szCs w:val="24"/>
          <w:rFonts w:ascii="宋体" w:hAnsi="宋体" w:eastAsia="宋体"/>
        </w:rPr>
        <w:t>.2.14 移动端APP</w:t>
      </w:r>
      <w:bookmarkEnd w:id="115"/>
      <w:bookmarkEnd w:id="116"/>
      <w:bookmarkEnd w:id="117"/>
      <w:bookmarkEnd w:id="118"/>
    </w:p>
    <w:p w14:paraId="35450CF4">
      <w:pPr>
        <w:pStyle w:val="8"/>
        <w:topLinePunct w:val="1"/>
        <w:spacing w:line="360" w:lineRule="auto"/>
        <w:rPr>
          <w:color w:val="auto"/>
          <w:bCs/>
          <w:kern w:val="21"/>
        </w:rPr>
      </w:pPr>
      <w:r>
        <w:rPr>
          <w:color w:val="auto"/>
          <w:bCs/>
          <w:kern w:val="21"/>
        </w:rPr>
        <w:t>系统可以提供安装在移动终端（智能手机或Pad）上的移动应用程序，使用户可以利用移动网络（4G/GPRS）实现远程运维，包含远程设备状态查看、浏览等功能。移动终端APP应用为运维管理提供了新的交互手段，便于变电站管理人员随时随地掌握电站情况。</w:t>
      </w:r>
    </w:p>
    <w:p w14:paraId="350EB672">
      <w:pPr>
        <w:spacing w:line="360" w:lineRule="auto"/>
        <w:rPr>
          <w:b w:val="1"/>
          <w:color w:val="auto"/>
          <w:sz w:val="24"/>
          <w:bCs/>
          <w:kern w:val="21"/>
          <w:szCs w:val="24"/>
          <w:rFonts w:ascii="Times New Roman" w:hAnsi="Times New Roman" w:eastAsia="宋体" w:cs="Times New Roman"/>
        </w:rPr>
      </w:pPr>
      <w:r>
        <w:rPr>
          <w:b w:val="1"/>
          <w:color w:val="auto"/>
          <w:sz w:val="24"/>
          <w:rFonts w:ascii="宋体" w:hAnsi="宋体" w:eastAsia="宋体" w:cs="宋体" w:hint="eastAsia"/>
        </w:rPr>
        <w:t>①</w:t>
      </w:r>
      <w:r>
        <w:rPr>
          <w:b w:val="1"/>
          <w:color w:val="auto"/>
          <w:sz w:val="24"/>
          <w:bCs/>
          <w:kern w:val="21"/>
          <w:szCs w:val="24"/>
          <w:rFonts w:ascii="Times New Roman" w:hAnsi="Times New Roman" w:eastAsia="宋体" w:cs="Times New Roman"/>
        </w:rPr>
        <w:t>站点信息总览</w:t>
      </w:r>
    </w:p>
    <w:p w14:paraId="107A0A09">
      <w:pPr>
        <w:spacing w:line="360" w:lineRule="auto"/>
        <w:rPr>
          <w:color w:val="auto"/>
          <w:sz w:val="24"/>
          <w:bCs/>
          <w:kern w:val="21"/>
          <w:szCs w:val="24"/>
          <w:rFonts w:ascii="Times New Roman" w:hAnsi="Times New Roman" w:eastAsia="宋体" w:cs="Times New Roman"/>
        </w:rPr>
      </w:pPr>
      <w:r>
        <w:rPr>
          <w:b w:val="1"/>
          <w:color w:val="auto"/>
          <w:sz w:val="24"/>
          <w:bCs/>
          <w:kern w:val="21"/>
          <w:szCs w:val="24"/>
          <w:rFonts w:ascii="Times New Roman" w:hAnsi="Times New Roman" w:eastAsia="宋体" w:cs="Times New Roman"/>
        </w:rPr>
        <w:t xml:space="preserve">    </w:t>
      </w:r>
      <w:r>
        <w:rPr>
          <w:color w:val="auto"/>
          <w:sz w:val="24"/>
          <w:bCs/>
          <w:kern w:val="21"/>
          <w:szCs w:val="24"/>
          <w:rFonts w:ascii="Times New Roman" w:hAnsi="Times New Roman" w:eastAsia="宋体" w:cs="Times New Roman"/>
        </w:rPr>
        <w:t>通过APP可直观看到配电室的运行状态、通讯状态和概要信息。有问题的站点会通过醒目的方式提醒运维人员。通过APP的站点看板，运维人员可以看到配电室的主要运行数据和负荷运行趋势。</w:t>
      </w:r>
    </w:p>
    <w:p w14:paraId="06E45E18">
      <w:pPr>
        <w:spacing w:line="360" w:lineRule="auto"/>
        <w:rPr>
          <w:color w:val="auto"/>
          <w:sz w:val="24"/>
          <w:bCs/>
          <w:kern w:val="21"/>
          <w:szCs w:val="24"/>
          <w:rFonts w:ascii="Times New Roman" w:hAnsi="Times New Roman" w:eastAsia="宋体" w:cs="Times New Roman"/>
        </w:rPr>
      </w:pPr>
      <w:r>
        <w:rPr>
          <w:color w:val="auto"/>
          <w:sz w:val="24"/>
          <w:bCs/>
          <w:kern w:val="21"/>
          <w:szCs w:val="24"/>
          <w:rFonts w:ascii="Times New Roman" w:hAnsi="Times New Roman" w:eastAsia="宋体" w:cs="Times New Roman"/>
        </w:rPr>
        <w:t>站点实时运行数据：可以查看设备的所有实时运行数据，模拟量和状态量分类显示，更新周期达到秒级。</w:t>
      </w:r>
    </w:p>
    <w:p w14:paraId="72EA1AE5">
      <w:pPr>
        <w:spacing w:line="360" w:lineRule="auto"/>
        <w:rPr>
          <w:color w:val="auto"/>
          <w:sz w:val="24"/>
          <w:bCs/>
          <w:kern w:val="21"/>
          <w:szCs w:val="24"/>
          <w:rFonts w:ascii="Times New Roman" w:hAnsi="Times New Roman" w:eastAsia="宋体" w:cs="Times New Roman"/>
        </w:rPr>
      </w:pPr>
      <w:r>
        <w:rPr>
          <w:b w:val="1"/>
          <w:color w:val="auto"/>
          <w:sz w:val="24"/>
          <w:rFonts w:ascii="Times New Roman" w:hAnsi="Times New Roman" w:eastAsia="宋体" w:cs="Times New Roman" w:hint="eastAsia"/>
        </w:rPr>
        <w:t>②</w:t>
      </w:r>
      <w:r>
        <w:rPr>
          <w:b w:val="1"/>
          <w:color w:val="auto"/>
          <w:sz w:val="24"/>
          <w:rFonts w:ascii="Times New Roman" w:hAnsi="Times New Roman" w:eastAsia="宋体" w:cs="Times New Roman"/>
        </w:rPr>
        <w:t>高低压一次接线图展示</w:t>
      </w:r>
    </w:p>
    <w:p w14:paraId="1A16B935">
      <w:pPr>
        <w:pStyle w:val="8"/>
        <w:topLinePunct w:val="1"/>
        <w:spacing w:line="360" w:lineRule="auto"/>
        <w:rPr>
          <w:color w:val="auto"/>
          <w:bCs/>
          <w:kern w:val="21"/>
        </w:rPr>
      </w:pPr>
      <w:r>
        <w:rPr>
          <w:color w:val="auto"/>
          <w:bCs/>
          <w:kern w:val="21"/>
        </w:rPr>
        <w:t xml:space="preserve"> APP上可查看配电室一次系统图，采用H5矢量图方式，画面数据实时更新。每个配电室最多可支持128个画面，同时支持自动根据画面布局切换手机横竖屏。</w:t>
      </w:r>
    </w:p>
    <w:p w14:paraId="223FFB6B">
      <w:pPr>
        <w:spacing w:line="360" w:lineRule="auto"/>
        <w:rPr>
          <w:b w:val="1"/>
          <w:color w:val="auto"/>
          <w:sz w:val="24"/>
          <w:rFonts w:ascii="Times New Roman" w:hAnsi="Times New Roman" w:eastAsia="宋体" w:cs="Times New Roman"/>
        </w:rPr>
      </w:pPr>
      <w:r>
        <w:rPr>
          <w:b w:val="1"/>
          <w:color w:val="auto"/>
          <w:sz w:val="24"/>
          <w:rFonts w:ascii="Times New Roman" w:hAnsi="Times New Roman" w:eastAsia="宋体" w:cs="Times New Roman" w:hint="eastAsia"/>
        </w:rPr>
        <w:t>③</w:t>
      </w:r>
      <w:r>
        <w:rPr>
          <w:b w:val="1"/>
          <w:color w:val="auto"/>
          <w:sz w:val="24"/>
          <w:rFonts w:ascii="Times New Roman" w:hAnsi="Times New Roman" w:eastAsia="宋体" w:cs="Times New Roman"/>
        </w:rPr>
        <w:t>历史数据查看</w:t>
      </w:r>
    </w:p>
    <w:p w14:paraId="0B9CF10B">
      <w:pPr>
        <w:spacing w:line="360" w:lineRule="auto"/>
        <w:rPr>
          <w:color w:val="auto"/>
          <w:sz w:val="24"/>
          <w:szCs w:val="24"/>
          <w:rFonts w:ascii="Times New Roman" w:hAnsi="Times New Roman" w:eastAsia="宋体" w:cs="Times New Roman"/>
        </w:rPr>
      </w:pPr>
      <w:r>
        <w:rPr>
          <w:b w:val="1"/>
          <w:color w:val="auto"/>
          <w:sz w:val="24"/>
          <w:bCs/>
          <w:kern w:val="21"/>
          <w:szCs w:val="24"/>
          <w:rFonts w:ascii="Times New Roman" w:hAnsi="Times New Roman" w:eastAsia="宋体" w:cs="Times New Roman"/>
        </w:rPr>
        <w:t xml:space="preserve">  </w:t>
      </w:r>
      <w:r>
        <w:rPr>
          <w:color w:val="auto"/>
          <w:sz w:val="24"/>
          <w:bCs/>
          <w:kern w:val="21"/>
          <w:szCs w:val="24"/>
          <w:rFonts w:ascii="Times New Roman" w:hAnsi="Times New Roman" w:eastAsia="宋体" w:cs="Times New Roman"/>
        </w:rPr>
        <w:t>APP可按照线路、类型查询任意时段的历史数据，支持同类数据对比查看。</w:t>
      </w:r>
    </w:p>
    <w:p w14:paraId="1DDD5017">
      <w:pPr>
        <w:spacing w:line="360" w:lineRule="auto"/>
        <w:rPr>
          <w:b w:val="1"/>
          <w:color w:val="auto"/>
          <w:sz w:val="24"/>
          <w:rFonts w:ascii="Times New Roman" w:hAnsi="Times New Roman" w:eastAsia="宋体" w:cs="Times New Roman"/>
        </w:rPr>
      </w:pPr>
      <w:r>
        <w:rPr>
          <w:b w:val="1"/>
          <w:color w:val="auto"/>
          <w:sz w:val="24"/>
          <w:rFonts w:ascii="Times New Roman" w:hAnsi="Times New Roman" w:eastAsia="宋体" w:cs="Times New Roman" w:hint="eastAsia"/>
        </w:rPr>
        <w:t>④</w:t>
      </w:r>
      <w:r>
        <w:rPr>
          <w:b w:val="1"/>
          <w:color w:val="auto"/>
          <w:sz w:val="24"/>
          <w:rFonts w:ascii="Times New Roman" w:hAnsi="Times New Roman" w:eastAsia="宋体" w:cs="Times New Roman"/>
        </w:rPr>
        <w:t>APP设备管理</w:t>
      </w:r>
    </w:p>
    <w:p w14:paraId="4E564710">
      <w:pPr>
        <w:pStyle w:val="8"/>
        <w:topLinePunct w:val="1"/>
        <w:spacing w:line="360" w:lineRule="auto"/>
        <w:rPr>
          <w:b w:val="1"/>
          <w:color w:val="auto"/>
          <w:bCs/>
          <w:kern w:val="21"/>
        </w:rPr>
      </w:pPr>
      <w:r>
        <w:rPr>
          <w:color w:val="auto"/>
          <w:bCs/>
          <w:kern w:val="21"/>
        </w:rPr>
        <w:t>设备信息管理：APP可查询到配电室所有设备的详细信息。</w:t>
      </w:r>
    </w:p>
    <w:p w14:paraId="5EF1204E">
      <w:pPr>
        <w:spacing w:line="360" w:lineRule="auto"/>
        <w:rPr>
          <w:color w:val="auto"/>
          <w:sz w:val="24"/>
          <w:bCs/>
          <w:kern w:val="21"/>
          <w:szCs w:val="24"/>
          <w:rFonts w:ascii="Times New Roman" w:hAnsi="Times New Roman" w:eastAsia="宋体" w:cs="Times New Roman"/>
        </w:rPr>
      </w:pPr>
      <w:r>
        <w:rPr>
          <w:color w:val="auto"/>
          <w:sz w:val="24"/>
          <w:bCs/>
          <w:kern w:val="21"/>
          <w:szCs w:val="24"/>
          <w:rFonts w:ascii="Times New Roman" w:hAnsi="Times New Roman" w:eastAsia="宋体" w:cs="Times New Roman"/>
        </w:rPr>
        <w:t>配电室电子档案管理：APP可查询到配电室的各类电子档案，如图纸、测试报告、检测报告、巡检报告、检修记录等等。信息分类存储，可在线查看</w:t>
      </w:r>
    </w:p>
    <w:p w14:paraId="56007376">
      <w:pPr>
        <w:pStyle w:val="8"/>
        <w:topLinePunct w:val="1"/>
        <w:jc w:val="center"/>
        <w:spacing w:line="360" w:lineRule="auto"/>
        <w:rPr>
          <w:color w:val="auto"/>
          <w:bCs/>
          <w:kern w:val="21"/>
        </w:rPr>
      </w:pPr>
      <w:r>
        <w:rPr>
          <w:color w:val="auto"/>
          <w:bCs/>
          <w:kern w:val="21"/>
        </w:rPr>
        <w:t xml:space="preserve">  </w:t>
      </w:r>
    </w:p>
    <w:p w14:paraId="6A5A53AD">
      <w:pPr>
        <w:topLinePunct w:val="1"/>
        <w:jc w:val="left"/>
        <w:spacing w:line="360" w:lineRule="auto"/>
        <w:rPr>
          <w:b w:val="1"/>
          <w:color w:val="auto"/>
          <w:sz w:val="24"/>
          <w:bCs/>
          <w:kern w:val="21"/>
          <w:szCs w:val="24"/>
          <w:rFonts w:ascii="Times New Roman" w:hAnsi="Times New Roman" w:eastAsia="宋体" w:cs="Times New Roman"/>
        </w:rPr>
      </w:pPr>
      <w:r>
        <w:rPr>
          <w:b w:val="1"/>
          <w:color w:val="auto"/>
          <w:sz w:val="24"/>
          <w:bCs/>
          <w:kern w:val="21"/>
          <w:szCs w:val="24"/>
          <w:rFonts w:ascii="宋体" w:hAnsi="宋体" w:eastAsia="宋体" w:cs="宋体" w:hint="eastAsia"/>
        </w:rPr>
        <w:t>⑤</w:t>
      </w:r>
      <w:r>
        <w:rPr>
          <w:b w:val="1"/>
          <w:color w:val="auto"/>
          <w:sz w:val="24"/>
          <w:bCs/>
          <w:kern w:val="21"/>
          <w:szCs w:val="24"/>
          <w:rFonts w:ascii="Times New Roman" w:hAnsi="Times New Roman" w:eastAsia="宋体" w:cs="Times New Roman"/>
        </w:rPr>
        <w:t>用电报告</w:t>
      </w:r>
    </w:p>
    <w:p w14:paraId="2648FD93">
      <w:pPr>
        <w:topLinePunct w:val="1"/>
        <w:jc w:val="left"/>
        <w:spacing w:line="360" w:lineRule="auto"/>
        <w:ind w:firstLine="480" w:firstLineChars="200"/>
        <w:rPr>
          <w:color w:val="auto"/>
          <w:sz w:val="24"/>
          <w:bCs/>
          <w:kern w:val="21"/>
          <w:szCs w:val="24"/>
          <w:rFonts w:ascii="Times New Roman" w:hAnsi="Times New Roman" w:eastAsia="宋体" w:cs="Times New Roman"/>
        </w:rPr>
      </w:pPr>
      <w:r>
        <w:rPr>
          <w:color w:val="auto"/>
          <w:sz w:val="24"/>
          <w:bCs/>
          <w:kern w:val="21"/>
          <w:szCs w:val="24"/>
          <w:rFonts w:ascii="Times New Roman" w:hAnsi="Times New Roman" w:eastAsia="宋体" w:cs="Times New Roman"/>
        </w:rPr>
        <w:t>APP上每月会自动生成配电室的运行报告，内容可包含用电情况概览，设备告警记录、运维记录、运行报表等内容。</w:t>
      </w:r>
    </w:p>
    <w:p w14:paraId="5934AF31">
      <w:pPr>
        <w:spacing w:line="360" w:lineRule="auto"/>
        <w:rPr>
          <w:color w:val="auto"/>
          <w:sz w:val="24"/>
          <w:szCs w:val="24"/>
          <w:rFonts w:ascii="Times New Roman" w:hAnsi="Times New Roman" w:eastAsia="宋体" w:cs="Times New Roman"/>
        </w:rPr>
      </w:pPr>
    </w:p>
    <w:p w14:paraId="2D865855">
      <w:pPr>
        <w:pStyle w:val="41"/>
        <w:spacing w:after="156" w:afterLines="50" w:before="156" w:beforeLines="50"/>
        <w:rPr>
          <w:color w:val="auto"/>
        </w:rPr>
      </w:pPr>
      <w:bookmarkStart w:id="119" w:name="_Toc163461770"/>
      <w:bookmarkStart w:id="120" w:name="_Toc244176145"/>
      <w:bookmarkStart w:id="121" w:name="_Toc244176414"/>
      <w:r>
        <w:rPr>
          <w:color w:val="auto"/>
          <w:rFonts w:hint="eastAsia"/>
        </w:rPr>
        <w:t>五、</w:t>
      </w:r>
      <w:bookmarkEnd w:id="119"/>
      <w:r>
        <w:rPr>
          <w:color w:val="auto"/>
          <w:rFonts w:hint="eastAsia"/>
        </w:rPr>
        <w:t>供货范围</w:t>
      </w:r>
      <w:bookmarkEnd w:id="120"/>
      <w:bookmarkEnd w:id="121"/>
    </w:p>
    <w:tbl>
      <w:tblPr>
        <w:tblStyle w:val="33"/>
        <w:tblW w:w="5000" w:type="pct"/>
        <w:tblInd w:type="dxa" w:w="0.000000"/>
        <w:tblLayout w:type="autofit"/>
        <w:tblCellMar>
          <w:top w:type="dxa" w:w="0.000000"/>
          <w:bottom w:type="dxa" w:w="0.000000"/>
          <w:left w:type="dxa" w:w="108.000000"/>
          <w:right w:type="dxa" w:w="108.000000"/>
        </w:tblCellMar>
      </w:tblPr>
      <w:tblGrid>
        <w:gridCol w:w="600.000000"/>
        <w:gridCol w:w="2436.000000"/>
        <w:gridCol w:w="2986.000000"/>
        <w:gridCol w:w="566.000000"/>
        <w:gridCol w:w="717.000000"/>
        <w:gridCol w:w="1765.000000"/>
      </w:tblGrid>
      <w:tr w14:paraId="6DE35F9E">
        <w:tblPrEx>
          <w:tblCellMar>
            <w:top w:type="dxa" w:w="0.000000"/>
            <w:bottom w:type="dxa" w:w="0.000000"/>
            <w:left w:type="dxa" w:w="108.000000"/>
            <w:right w:type="dxa" w:w="108.000000"/>
          </w:tblCellMar>
        </w:tblPrEx>
        <w:trPr>
          <w:trHeight w:val="396" w:hRule="atLeast"/>
        </w:trPr>
        <w:tc>
          <w:tcPr>
            <w:tcW w:w="331" w:type="pct"/>
            <w:vAlign w:val="center"/>
            <w:tcBorders>
              <w:top w:val="single" w:color="auto" w:sz="4" w:space="0"/>
              <w:left w:val="single" w:color="auto" w:sz="4" w:space="0"/>
              <w:bottom w:val="single" w:color="auto" w:sz="4" w:space="0"/>
              <w:right w:val="single" w:color="auto" w:sz="4" w:space="0"/>
            </w:tcBorders>
          </w:tcPr>
          <w:p w14:paraId="7FBF58F9">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序号</w:t>
            </w:r>
          </w:p>
        </w:tc>
        <w:tc>
          <w:tcPr>
            <w:tcW w:w="1343" w:type="pct"/>
            <w:vAlign w:val="center"/>
            <w:tcBorders>
              <w:top w:val="single" w:color="auto" w:sz="4" w:space="0"/>
              <w:left w:val="nil"/>
              <w:bottom w:val="single" w:color="auto" w:sz="4" w:space="0"/>
              <w:right w:val="single" w:color="auto" w:sz="4" w:space="0"/>
            </w:tcBorders>
          </w:tcPr>
          <w:p w14:paraId="6AC551CC">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名称</w:t>
            </w:r>
          </w:p>
        </w:tc>
        <w:tc>
          <w:tcPr>
            <w:tcW w:w="1646" w:type="pct"/>
            <w:vAlign w:val="center"/>
            <w:tcBorders>
              <w:top w:val="single" w:color="auto" w:sz="4" w:space="0"/>
              <w:left w:val="nil"/>
              <w:bottom w:val="single" w:color="auto" w:sz="4" w:space="0"/>
              <w:right w:val="single" w:color="auto" w:sz="4" w:space="0"/>
            </w:tcBorders>
          </w:tcPr>
          <w:p w14:paraId="2EDFFD5D">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规格型号</w:t>
            </w:r>
          </w:p>
        </w:tc>
        <w:tc>
          <w:tcPr>
            <w:tcW w:w="312" w:type="pct"/>
            <w:vAlign w:val="center"/>
            <w:tcBorders>
              <w:top w:val="single" w:color="auto" w:sz="4" w:space="0"/>
              <w:left w:val="nil"/>
              <w:bottom w:val="single" w:color="auto" w:sz="4" w:space="0"/>
              <w:right w:val="single" w:color="auto" w:sz="4" w:space="0"/>
            </w:tcBorders>
          </w:tcPr>
          <w:p w14:paraId="6207B52C">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单位</w:t>
            </w:r>
          </w:p>
        </w:tc>
        <w:tc>
          <w:tcPr>
            <w:tcW w:w="395" w:type="pct"/>
            <w:vAlign w:val="center"/>
            <w:tcBorders>
              <w:top w:val="single" w:color="auto" w:sz="4" w:space="0"/>
              <w:left w:val="nil"/>
              <w:bottom w:val="single" w:color="auto" w:sz="4" w:space="0"/>
              <w:right w:val="single" w:color="auto" w:sz="4" w:space="0"/>
            </w:tcBorders>
          </w:tcPr>
          <w:p w14:paraId="5CBE3166">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数量</w:t>
            </w:r>
          </w:p>
        </w:tc>
        <w:tc>
          <w:tcPr>
            <w:tcW w:w="973" w:type="pct"/>
            <w:vAlign w:val="center"/>
            <w:tcBorders>
              <w:top w:val="single" w:color="auto" w:sz="4" w:space="0"/>
              <w:left w:val="nil"/>
              <w:bottom w:val="single" w:color="auto" w:sz="4" w:space="0"/>
              <w:right w:val="single" w:color="auto" w:sz="4" w:space="0"/>
            </w:tcBorders>
          </w:tcPr>
          <w:p w14:paraId="0779FCC9">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备注</w:t>
            </w:r>
          </w:p>
        </w:tc>
      </w:tr>
      <w:tr w14:paraId="1B0C95CF">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46D81DDE">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一</w:t>
            </w:r>
          </w:p>
        </w:tc>
        <w:tc>
          <w:tcPr>
            <w:tcW w:w="3696" w:type="pct"/>
            <w:gridSpan w:val="4"/>
            <w:vAlign w:val="center"/>
            <w:tcBorders>
              <w:top w:val="single" w:color="auto" w:sz="4" w:space="0"/>
              <w:left w:val="nil"/>
              <w:bottom w:val="single" w:color="auto" w:sz="4" w:space="0"/>
              <w:right w:val="single" w:color="auto" w:sz="4" w:space="0"/>
            </w:tcBorders>
          </w:tcPr>
          <w:p w14:paraId="6BFEB605">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运维中心</w:t>
            </w:r>
          </w:p>
        </w:tc>
        <w:tc>
          <w:tcPr>
            <w:tcW w:w="973" w:type="pct"/>
            <w:vAlign w:val="bottom"/>
            <w:tcBorders>
              <w:top w:val="nil"/>
              <w:left w:val="nil"/>
              <w:bottom w:val="single" w:color="auto" w:sz="4" w:space="0"/>
              <w:right w:val="single" w:color="auto" w:sz="4" w:space="0"/>
            </w:tcBorders>
          </w:tcPr>
          <w:p w14:paraId="2599DEFF">
            <w:pPr>
              <w:widowControl w:val="1"/>
              <w:jc w:val="left"/>
              <w:rPr>
                <w:color w:val="auto"/>
                <w:sz w:val="22"/>
                <w:kern w:val="0"/>
                <w:rFonts w:ascii="等线" w:hAnsi="等线" w:eastAsia="等线" w:cs="宋体"/>
              </w:rPr>
            </w:pPr>
            <w:r>
              <w:rPr>
                <w:color w:val="auto"/>
                <w:sz w:val="22"/>
                <w:kern w:val="0"/>
                <w:rFonts w:ascii="等线" w:hAnsi="等线" w:eastAsia="等线" w:cs="宋体"/>
              </w:rPr>
              <w:t>　</w:t>
            </w:r>
          </w:p>
        </w:tc>
      </w:tr>
      <w:tr w14:paraId="6E984903">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4CDBF061">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1</w:t>
            </w:r>
          </w:p>
        </w:tc>
        <w:tc>
          <w:tcPr>
            <w:tcW w:w="1343" w:type="pct"/>
            <w:vAlign w:val="center"/>
            <w:tcBorders>
              <w:top w:val="nil"/>
              <w:left w:val="nil"/>
              <w:bottom w:val="single" w:color="auto" w:sz="4" w:space="0"/>
              <w:right w:val="single" w:color="auto" w:sz="4" w:space="0"/>
            </w:tcBorders>
          </w:tcPr>
          <w:p w14:paraId="2CA18C56">
            <w:pPr>
              <w:widowControl w:val="1"/>
              <w:jc w:val="center"/>
              <w:rPr>
                <w:color w:val="auto"/>
                <w:sz w:val="22"/>
                <w:kern w:val="0"/>
                <w:rFonts w:ascii="宋体" w:hAnsi="宋体" w:eastAsia="宋体" w:cs="宋体"/>
              </w:rPr>
            </w:pPr>
            <w:r>
              <w:rPr>
                <w:color w:val="auto"/>
                <w:sz w:val="22"/>
                <w:kern w:val="0"/>
                <w:rFonts w:ascii="宋体" w:hAnsi="宋体" w:eastAsia="宋体" w:cs="宋体"/>
              </w:rPr>
              <w:t>电力监控软件</w:t>
            </w:r>
          </w:p>
        </w:tc>
        <w:tc>
          <w:tcPr>
            <w:tcW w:w="1646" w:type="pct"/>
            <w:vAlign w:val="center"/>
            <w:tcBorders>
              <w:top w:val="nil"/>
              <w:left w:val="nil"/>
              <w:bottom w:val="single" w:color="auto" w:sz="4" w:space="0"/>
              <w:right w:val="single" w:color="auto" w:sz="4" w:space="0"/>
            </w:tcBorders>
          </w:tcPr>
          <w:p w14:paraId="4C918394">
            <w:pPr>
              <w:widowControl w:val="1"/>
              <w:jc w:val="center"/>
              <w:rPr>
                <w:color w:val="auto"/>
                <w:sz w:val="22"/>
                <w:kern w:val="0"/>
                <w:rFonts w:ascii="宋体" w:hAnsi="宋体" w:eastAsia="宋体" w:cs="宋体"/>
              </w:rPr>
            </w:pPr>
            <w:r>
              <w:rPr>
                <w:color w:val="auto"/>
                <w:sz w:val="22"/>
                <w:kern w:val="0"/>
                <w:rFonts w:ascii="宋体" w:hAnsi="宋体" w:eastAsia="宋体" w:cs="宋体"/>
              </w:rPr>
              <w:t>IPS3000</w:t>
            </w:r>
          </w:p>
        </w:tc>
        <w:tc>
          <w:tcPr>
            <w:tcW w:w="312" w:type="pct"/>
            <w:vAlign w:val="center"/>
            <w:tcBorders>
              <w:top w:val="nil"/>
              <w:left w:val="nil"/>
              <w:bottom w:val="single" w:color="auto" w:sz="4" w:space="0"/>
              <w:right w:val="single" w:color="auto" w:sz="4" w:space="0"/>
            </w:tcBorders>
          </w:tcPr>
          <w:p w14:paraId="0571916C">
            <w:pPr>
              <w:widowControl w:val="1"/>
              <w:jc w:val="center"/>
              <w:rPr>
                <w:color w:val="auto"/>
                <w:sz w:val="22"/>
                <w:kern w:val="0"/>
                <w:rFonts w:ascii="宋体" w:hAnsi="宋体" w:eastAsia="宋体" w:cs="宋体"/>
              </w:rPr>
            </w:pPr>
            <w:r>
              <w:rPr>
                <w:color w:val="auto"/>
                <w:sz w:val="22"/>
                <w:kern w:val="0"/>
                <w:rFonts w:ascii="宋体" w:hAnsi="宋体" w:eastAsia="宋体" w:cs="宋体"/>
              </w:rPr>
              <w:t>套</w:t>
            </w:r>
          </w:p>
        </w:tc>
        <w:tc>
          <w:tcPr>
            <w:tcW w:w="395" w:type="pct"/>
            <w:vAlign w:val="center"/>
            <w:tcBorders>
              <w:top w:val="nil"/>
              <w:left w:val="nil"/>
              <w:bottom w:val="single" w:color="auto" w:sz="4" w:space="0"/>
              <w:right w:val="single" w:color="auto" w:sz="4" w:space="0"/>
            </w:tcBorders>
          </w:tcPr>
          <w:p w14:paraId="70E488BD">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973" w:type="pct"/>
            <w:vAlign w:val="center"/>
            <w:tcBorders>
              <w:top w:val="nil"/>
              <w:left w:val="nil"/>
              <w:bottom w:val="single" w:color="auto" w:sz="4" w:space="0"/>
              <w:right w:val="single" w:color="auto" w:sz="4" w:space="0"/>
            </w:tcBorders>
          </w:tcPr>
          <w:p w14:paraId="0A5EB6D2">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4294F541">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6335F72B">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2</w:t>
            </w:r>
          </w:p>
        </w:tc>
        <w:tc>
          <w:tcPr>
            <w:tcW w:w="1343" w:type="pct"/>
            <w:vAlign w:val="center"/>
            <w:tcBorders>
              <w:top w:val="nil"/>
              <w:left w:val="nil"/>
              <w:bottom w:val="single" w:color="auto" w:sz="4" w:space="0"/>
              <w:right w:val="single" w:color="auto" w:sz="4" w:space="0"/>
            </w:tcBorders>
          </w:tcPr>
          <w:p w14:paraId="285808DC">
            <w:pPr>
              <w:widowControl w:val="1"/>
              <w:jc w:val="center"/>
              <w:rPr>
                <w:color w:val="auto"/>
                <w:sz w:val="22"/>
                <w:kern w:val="0"/>
                <w:rFonts w:ascii="宋体" w:hAnsi="宋体" w:eastAsia="宋体" w:cs="宋体"/>
              </w:rPr>
            </w:pPr>
            <w:r>
              <w:rPr>
                <w:color w:val="auto"/>
                <w:sz w:val="22"/>
                <w:kern w:val="0"/>
                <w:rFonts w:ascii="宋体" w:hAnsi="宋体" w:eastAsia="宋体" w:cs="宋体"/>
              </w:rPr>
              <w:t>运维管理系统软件</w:t>
            </w:r>
          </w:p>
        </w:tc>
        <w:tc>
          <w:tcPr>
            <w:tcW w:w="1646" w:type="pct"/>
            <w:vAlign w:val="center"/>
            <w:tcBorders>
              <w:top w:val="nil"/>
              <w:left w:val="nil"/>
              <w:bottom w:val="single" w:color="auto" w:sz="4" w:space="0"/>
              <w:right w:val="single" w:color="auto" w:sz="4" w:space="0"/>
            </w:tcBorders>
          </w:tcPr>
          <w:p w14:paraId="5458AA66">
            <w:pPr>
              <w:widowControl w:val="1"/>
              <w:jc w:val="center"/>
              <w:rPr>
                <w:color w:val="auto"/>
                <w:sz w:val="22"/>
                <w:kern w:val="0"/>
                <w:rFonts w:ascii="宋体" w:hAnsi="宋体" w:eastAsia="宋体" w:cs="宋体"/>
              </w:rPr>
            </w:pPr>
            <w:r>
              <w:rPr>
                <w:color w:val="auto"/>
                <w:sz w:val="22"/>
                <w:kern w:val="0"/>
                <w:rFonts w:ascii="宋体" w:hAnsi="宋体" w:eastAsia="宋体" w:cs="宋体"/>
              </w:rPr>
              <w:t>XD-OMS</w:t>
            </w:r>
          </w:p>
        </w:tc>
        <w:tc>
          <w:tcPr>
            <w:tcW w:w="312" w:type="pct"/>
            <w:vAlign w:val="center"/>
            <w:tcBorders>
              <w:top w:val="nil"/>
              <w:left w:val="nil"/>
              <w:bottom w:val="single" w:color="auto" w:sz="4" w:space="0"/>
              <w:right w:val="single" w:color="auto" w:sz="4" w:space="0"/>
            </w:tcBorders>
          </w:tcPr>
          <w:p w14:paraId="688DFA05">
            <w:pPr>
              <w:widowControl w:val="1"/>
              <w:jc w:val="center"/>
              <w:rPr>
                <w:color w:val="auto"/>
                <w:sz w:val="22"/>
                <w:kern w:val="0"/>
                <w:rFonts w:ascii="宋体" w:hAnsi="宋体" w:eastAsia="宋体" w:cs="宋体"/>
              </w:rPr>
            </w:pPr>
            <w:r>
              <w:rPr>
                <w:color w:val="auto"/>
                <w:sz w:val="22"/>
                <w:kern w:val="0"/>
                <w:rFonts w:ascii="宋体" w:hAnsi="宋体" w:eastAsia="宋体" w:cs="宋体"/>
              </w:rPr>
              <w:t>套</w:t>
            </w:r>
          </w:p>
        </w:tc>
        <w:tc>
          <w:tcPr>
            <w:tcW w:w="395" w:type="pct"/>
            <w:vAlign w:val="center"/>
            <w:tcBorders>
              <w:top w:val="nil"/>
              <w:left w:val="nil"/>
              <w:bottom w:val="single" w:color="auto" w:sz="4" w:space="0"/>
              <w:right w:val="single" w:color="auto" w:sz="4" w:space="0"/>
            </w:tcBorders>
          </w:tcPr>
          <w:p w14:paraId="29BD9265">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973" w:type="pct"/>
            <w:vAlign w:val="center"/>
            <w:tcBorders>
              <w:top w:val="nil"/>
              <w:left w:val="nil"/>
              <w:bottom w:val="single" w:color="auto" w:sz="4" w:space="0"/>
              <w:right w:val="single" w:color="auto" w:sz="4" w:space="0"/>
            </w:tcBorders>
          </w:tcPr>
          <w:p w14:paraId="68A5FAD7">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38A3977F">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67918EB6">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3</w:t>
            </w:r>
          </w:p>
        </w:tc>
        <w:tc>
          <w:tcPr>
            <w:tcW w:w="1343" w:type="pct"/>
            <w:vAlign w:val="center"/>
            <w:tcBorders>
              <w:top w:val="nil"/>
              <w:left w:val="nil"/>
              <w:bottom w:val="single" w:color="auto" w:sz="4" w:space="0"/>
              <w:right w:val="single" w:color="auto" w:sz="4" w:space="0"/>
            </w:tcBorders>
          </w:tcPr>
          <w:p w14:paraId="561CBCA0">
            <w:pPr>
              <w:widowControl w:val="1"/>
              <w:jc w:val="center"/>
              <w:rPr>
                <w:color w:val="auto"/>
                <w:sz w:val="22"/>
                <w:kern w:val="0"/>
                <w:rFonts w:ascii="宋体" w:hAnsi="宋体" w:eastAsia="宋体" w:cs="宋体"/>
              </w:rPr>
            </w:pPr>
            <w:r>
              <w:rPr>
                <w:color w:val="auto"/>
                <w:sz w:val="22"/>
                <w:kern w:val="0"/>
                <w:rFonts w:ascii="宋体" w:hAnsi="宋体" w:eastAsia="宋体" w:cs="宋体"/>
              </w:rPr>
              <w:t>手机APP软件</w:t>
            </w:r>
          </w:p>
        </w:tc>
        <w:tc>
          <w:tcPr>
            <w:tcW w:w="1646" w:type="pct"/>
            <w:vAlign w:val="center"/>
            <w:tcBorders>
              <w:top w:val="nil"/>
              <w:left w:val="nil"/>
              <w:bottom w:val="single" w:color="auto" w:sz="4" w:space="0"/>
              <w:right w:val="single" w:color="auto" w:sz="4" w:space="0"/>
            </w:tcBorders>
          </w:tcPr>
          <w:p w14:paraId="277D1E2B">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tcPr>
          <w:p w14:paraId="05FB1B83">
            <w:pPr>
              <w:widowControl w:val="1"/>
              <w:jc w:val="center"/>
              <w:rPr>
                <w:color w:val="auto"/>
                <w:sz w:val="22"/>
                <w:kern w:val="0"/>
                <w:rFonts w:ascii="宋体" w:hAnsi="宋体" w:eastAsia="宋体" w:cs="宋体"/>
              </w:rPr>
            </w:pPr>
            <w:r>
              <w:rPr>
                <w:color w:val="auto"/>
                <w:sz w:val="22"/>
                <w:kern w:val="0"/>
                <w:rFonts w:ascii="宋体" w:hAnsi="宋体" w:eastAsia="宋体" w:cs="宋体"/>
              </w:rPr>
              <w:t>套</w:t>
            </w:r>
          </w:p>
        </w:tc>
        <w:tc>
          <w:tcPr>
            <w:tcW w:w="395" w:type="pct"/>
            <w:vAlign w:val="center"/>
            <w:tcBorders>
              <w:top w:val="nil"/>
              <w:left w:val="nil"/>
              <w:bottom w:val="single" w:color="auto" w:sz="4" w:space="0"/>
              <w:right w:val="single" w:color="auto" w:sz="4" w:space="0"/>
            </w:tcBorders>
          </w:tcPr>
          <w:p w14:paraId="0D5B136F">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973" w:type="pct"/>
            <w:vAlign w:val="center"/>
            <w:tcBorders>
              <w:top w:val="nil"/>
              <w:left w:val="nil"/>
              <w:bottom w:val="single" w:color="auto" w:sz="4" w:space="0"/>
              <w:right w:val="single" w:color="auto" w:sz="4" w:space="0"/>
            </w:tcBorders>
          </w:tcPr>
          <w:p w14:paraId="7A054E8E">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233F2654">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76F7AAFD">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4</w:t>
            </w:r>
          </w:p>
        </w:tc>
        <w:tc>
          <w:tcPr>
            <w:tcW w:w="1343" w:type="pct"/>
            <w:vAlign w:val="center"/>
            <w:tcBorders>
              <w:top w:val="nil"/>
              <w:left w:val="nil"/>
              <w:bottom w:val="single" w:color="auto" w:sz="4" w:space="0"/>
              <w:right w:val="single" w:color="auto" w:sz="4" w:space="0"/>
            </w:tcBorders>
          </w:tcPr>
          <w:p w14:paraId="1667B389">
            <w:pPr>
              <w:widowControl w:val="1"/>
              <w:jc w:val="center"/>
              <w:rPr>
                <w:color w:val="auto"/>
                <w:sz w:val="22"/>
                <w:kern w:val="0"/>
                <w:rFonts w:ascii="宋体" w:hAnsi="宋体" w:eastAsia="宋体" w:cs="宋体"/>
              </w:rPr>
            </w:pPr>
            <w:r>
              <w:rPr>
                <w:color w:val="auto"/>
                <w:sz w:val="22"/>
                <w:kern w:val="0"/>
                <w:rFonts w:ascii="宋体" w:hAnsi="宋体" w:eastAsia="宋体" w:cs="宋体"/>
              </w:rPr>
              <w:t>监控主机</w:t>
            </w:r>
          </w:p>
        </w:tc>
        <w:tc>
          <w:tcPr>
            <w:tcW w:w="1646" w:type="pct"/>
            <w:vAlign w:val="center"/>
            <w:tcBorders>
              <w:top w:val="nil"/>
              <w:left w:val="nil"/>
              <w:bottom w:val="single" w:color="auto" w:sz="4" w:space="0"/>
              <w:right w:val="single" w:color="auto" w:sz="4" w:space="0"/>
            </w:tcBorders>
          </w:tcPr>
          <w:p w14:paraId="235F398E">
            <w:pPr>
              <w:widowControl w:val="1"/>
              <w:jc w:val="center"/>
              <w:rPr>
                <w:color w:val="auto"/>
                <w:sz w:val="22"/>
                <w:kern w:val="0"/>
                <w:rFonts w:ascii="宋体" w:hAnsi="宋体" w:eastAsia="宋体" w:cs="宋体"/>
              </w:rPr>
            </w:pPr>
            <w:r>
              <w:rPr>
                <w:color w:val="auto"/>
                <w:sz w:val="22"/>
                <w:kern w:val="0"/>
                <w:rFonts w:ascii="宋体" w:hAnsi="宋体" w:eastAsia="宋体" w:cs="宋体"/>
              </w:rPr>
              <w:t>I7/16G/1T SSD/独显</w:t>
            </w:r>
          </w:p>
        </w:tc>
        <w:tc>
          <w:tcPr>
            <w:tcW w:w="312" w:type="pct"/>
            <w:vAlign w:val="center"/>
            <w:tcBorders>
              <w:top w:val="nil"/>
              <w:left w:val="nil"/>
              <w:bottom w:val="single" w:color="auto" w:sz="4" w:space="0"/>
              <w:right w:val="single" w:color="auto" w:sz="4" w:space="0"/>
            </w:tcBorders>
          </w:tcPr>
          <w:p w14:paraId="172FCB90">
            <w:pPr>
              <w:widowControl w:val="1"/>
              <w:jc w:val="center"/>
              <w:rPr>
                <w:color w:val="auto"/>
                <w:sz w:val="22"/>
                <w:kern w:val="0"/>
                <w:rFonts w:ascii="宋体" w:hAnsi="宋体" w:eastAsia="宋体" w:cs="宋体"/>
              </w:rPr>
            </w:pPr>
            <w:r>
              <w:rPr>
                <w:color w:val="auto"/>
                <w:sz w:val="22"/>
                <w:kern w:val="0"/>
                <w:rFonts w:ascii="宋体" w:hAnsi="宋体" w:eastAsia="宋体" w:cs="宋体"/>
              </w:rPr>
              <w:t>台</w:t>
            </w:r>
          </w:p>
        </w:tc>
        <w:tc>
          <w:tcPr>
            <w:tcW w:w="395" w:type="pct"/>
            <w:vAlign w:val="center"/>
            <w:tcBorders>
              <w:top w:val="nil"/>
              <w:left w:val="nil"/>
              <w:bottom w:val="single" w:color="auto" w:sz="4" w:space="0"/>
              <w:right w:val="single" w:color="auto" w:sz="4" w:space="0"/>
            </w:tcBorders>
          </w:tcPr>
          <w:p w14:paraId="1FA11806">
            <w:pPr>
              <w:widowControl w:val="1"/>
              <w:jc w:val="center"/>
              <w:rPr>
                <w:color w:val="auto"/>
                <w:sz w:val="22"/>
                <w:kern w:val="0"/>
                <w:rFonts w:ascii="宋体" w:hAnsi="宋体" w:eastAsia="宋体" w:cs="宋体"/>
              </w:rPr>
            </w:pPr>
            <w:r>
              <w:rPr>
                <w:color w:val="auto"/>
                <w:sz w:val="22"/>
                <w:kern w:val="0"/>
                <w:rFonts w:ascii="宋体" w:hAnsi="宋体" w:eastAsia="宋体" w:cs="宋体"/>
              </w:rPr>
              <w:t>2</w:t>
            </w:r>
          </w:p>
        </w:tc>
        <w:tc>
          <w:tcPr>
            <w:tcW w:w="973" w:type="pct"/>
            <w:vAlign w:val="center"/>
            <w:tcBorders>
              <w:top w:val="nil"/>
              <w:left w:val="nil"/>
              <w:bottom w:val="single" w:color="auto" w:sz="4" w:space="0"/>
              <w:right w:val="single" w:color="auto" w:sz="4" w:space="0"/>
            </w:tcBorders>
          </w:tcPr>
          <w:p w14:paraId="02236750">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221086EF">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48AE3C2F">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5</w:t>
            </w:r>
          </w:p>
        </w:tc>
        <w:tc>
          <w:tcPr>
            <w:tcW w:w="1343" w:type="pct"/>
            <w:vAlign w:val="center"/>
            <w:tcBorders>
              <w:top w:val="nil"/>
              <w:left w:val="nil"/>
              <w:bottom w:val="single" w:color="auto" w:sz="4" w:space="0"/>
              <w:right w:val="single" w:color="auto" w:sz="4" w:space="0"/>
            </w:tcBorders>
          </w:tcPr>
          <w:p w14:paraId="5F47B57B">
            <w:pPr>
              <w:widowControl w:val="1"/>
              <w:jc w:val="center"/>
              <w:rPr>
                <w:color w:val="auto"/>
                <w:sz w:val="22"/>
                <w:kern w:val="0"/>
                <w:rFonts w:ascii="宋体" w:hAnsi="宋体" w:eastAsia="宋体" w:cs="宋体"/>
              </w:rPr>
            </w:pPr>
            <w:r>
              <w:rPr>
                <w:color w:val="auto"/>
                <w:sz w:val="22"/>
                <w:kern w:val="0"/>
                <w:rFonts w:ascii="宋体" w:hAnsi="宋体" w:eastAsia="宋体" w:cs="宋体"/>
              </w:rPr>
              <w:t>显示器</w:t>
            </w:r>
          </w:p>
        </w:tc>
        <w:tc>
          <w:tcPr>
            <w:tcW w:w="1646" w:type="pct"/>
            <w:vAlign w:val="center"/>
            <w:tcBorders>
              <w:top w:val="nil"/>
              <w:left w:val="nil"/>
              <w:bottom w:val="single" w:color="auto" w:sz="4" w:space="0"/>
              <w:right w:val="single" w:color="auto" w:sz="4" w:space="0"/>
            </w:tcBorders>
          </w:tcPr>
          <w:p w14:paraId="5D0A2ACA">
            <w:pPr>
              <w:widowControl w:val="1"/>
              <w:jc w:val="center"/>
              <w:rPr>
                <w:color w:val="auto"/>
                <w:sz w:val="22"/>
                <w:kern w:val="0"/>
                <w:rFonts w:ascii="宋体" w:hAnsi="宋体" w:eastAsia="宋体" w:cs="宋体"/>
              </w:rPr>
            </w:pPr>
            <w:r>
              <w:rPr>
                <w:color w:val="auto"/>
                <w:sz w:val="22"/>
                <w:kern w:val="0"/>
                <w:rFonts w:ascii="宋体" w:hAnsi="宋体" w:eastAsia="宋体" w:cs="宋体"/>
              </w:rPr>
              <w:t>27寸</w:t>
            </w:r>
          </w:p>
        </w:tc>
        <w:tc>
          <w:tcPr>
            <w:tcW w:w="312" w:type="pct"/>
            <w:vAlign w:val="center"/>
            <w:tcBorders>
              <w:top w:val="nil"/>
              <w:left w:val="nil"/>
              <w:bottom w:val="single" w:color="auto" w:sz="4" w:space="0"/>
              <w:right w:val="single" w:color="auto" w:sz="4" w:space="0"/>
            </w:tcBorders>
          </w:tcPr>
          <w:p w14:paraId="6A1871EE">
            <w:pPr>
              <w:widowControl w:val="1"/>
              <w:jc w:val="center"/>
              <w:rPr>
                <w:color w:val="auto"/>
                <w:sz w:val="22"/>
                <w:kern w:val="0"/>
                <w:rFonts w:ascii="宋体" w:hAnsi="宋体" w:eastAsia="宋体" w:cs="宋体"/>
              </w:rPr>
            </w:pPr>
            <w:r>
              <w:rPr>
                <w:color w:val="auto"/>
                <w:sz w:val="22"/>
                <w:kern w:val="0"/>
                <w:rFonts w:ascii="宋体" w:hAnsi="宋体" w:eastAsia="宋体" w:cs="宋体"/>
              </w:rPr>
              <w:t>台</w:t>
            </w:r>
          </w:p>
        </w:tc>
        <w:tc>
          <w:tcPr>
            <w:tcW w:w="395" w:type="pct"/>
            <w:vAlign w:val="center"/>
            <w:tcBorders>
              <w:top w:val="nil"/>
              <w:left w:val="nil"/>
              <w:bottom w:val="single" w:color="auto" w:sz="4" w:space="0"/>
              <w:right w:val="single" w:color="auto" w:sz="4" w:space="0"/>
            </w:tcBorders>
          </w:tcPr>
          <w:p w14:paraId="46D79C8A">
            <w:pPr>
              <w:widowControl w:val="1"/>
              <w:jc w:val="center"/>
              <w:rPr>
                <w:color w:val="auto"/>
                <w:sz w:val="22"/>
                <w:kern w:val="0"/>
                <w:rFonts w:ascii="宋体" w:hAnsi="宋体" w:eastAsia="宋体" w:cs="宋体"/>
              </w:rPr>
            </w:pPr>
            <w:r>
              <w:rPr>
                <w:color w:val="auto"/>
                <w:sz w:val="22"/>
                <w:kern w:val="0"/>
                <w:rFonts w:ascii="宋体" w:hAnsi="宋体" w:eastAsia="宋体" w:cs="宋体"/>
              </w:rPr>
              <w:t>2</w:t>
            </w:r>
          </w:p>
        </w:tc>
        <w:tc>
          <w:tcPr>
            <w:tcW w:w="973" w:type="pct"/>
            <w:vAlign w:val="center"/>
            <w:tcBorders>
              <w:top w:val="nil"/>
              <w:left w:val="nil"/>
              <w:bottom w:val="single" w:color="auto" w:sz="4" w:space="0"/>
              <w:right w:val="single" w:color="auto" w:sz="4" w:space="0"/>
            </w:tcBorders>
          </w:tcPr>
          <w:p w14:paraId="589D353F">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2A1FA5F5">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shd w:val="clear" w:color="000000" w:fill="FFFFFF"/>
          </w:tcPr>
          <w:p w14:paraId="6F153884">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6</w:t>
            </w:r>
          </w:p>
        </w:tc>
        <w:tc>
          <w:tcPr>
            <w:tcW w:w="1343" w:type="pct"/>
            <w:vAlign w:val="center"/>
            <w:tcBorders>
              <w:top w:val="nil"/>
              <w:left w:val="nil"/>
              <w:bottom w:val="single" w:color="auto" w:sz="4" w:space="0"/>
              <w:right w:val="single" w:color="auto" w:sz="4" w:space="0"/>
            </w:tcBorders>
            <w:shd w:val="clear" w:color="000000" w:fill="FFFFFF"/>
          </w:tcPr>
          <w:p w14:paraId="1C261AEA">
            <w:pPr>
              <w:widowControl w:val="1"/>
              <w:jc w:val="center"/>
              <w:rPr>
                <w:color w:val="auto"/>
                <w:sz w:val="22"/>
                <w:kern w:val="0"/>
                <w:rFonts w:ascii="宋体" w:hAnsi="宋体" w:eastAsia="宋体" w:cs="宋体"/>
              </w:rPr>
            </w:pPr>
            <w:r>
              <w:rPr>
                <w:color w:val="auto"/>
                <w:sz w:val="22"/>
                <w:kern w:val="0"/>
                <w:rFonts w:ascii="宋体" w:hAnsi="宋体" w:eastAsia="宋体" w:cs="宋体"/>
              </w:rPr>
              <w:t>操作系统</w:t>
            </w:r>
          </w:p>
        </w:tc>
        <w:tc>
          <w:tcPr>
            <w:tcW w:w="1646" w:type="pct"/>
            <w:vAlign w:val="center"/>
            <w:tcBorders>
              <w:top w:val="nil"/>
              <w:left w:val="nil"/>
              <w:bottom w:val="single" w:color="auto" w:sz="4" w:space="0"/>
              <w:right w:val="single" w:color="auto" w:sz="4" w:space="0"/>
            </w:tcBorders>
            <w:shd w:val="clear" w:color="000000" w:fill="FFFFFF"/>
          </w:tcPr>
          <w:p w14:paraId="7CE33954">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shd w:val="clear" w:color="000000" w:fill="FFFFFF"/>
          </w:tcPr>
          <w:p w14:paraId="341B3FCE">
            <w:pPr>
              <w:widowControl w:val="1"/>
              <w:jc w:val="center"/>
              <w:rPr>
                <w:color w:val="auto"/>
                <w:sz w:val="22"/>
                <w:kern w:val="0"/>
                <w:rFonts w:ascii="宋体" w:hAnsi="宋体" w:eastAsia="宋体" w:cs="宋体"/>
              </w:rPr>
            </w:pPr>
            <w:r>
              <w:rPr>
                <w:color w:val="auto"/>
                <w:sz w:val="22"/>
                <w:kern w:val="0"/>
                <w:rFonts w:ascii="宋体" w:hAnsi="宋体" w:eastAsia="宋体" w:cs="宋体"/>
              </w:rPr>
              <w:t>套</w:t>
            </w:r>
          </w:p>
        </w:tc>
        <w:tc>
          <w:tcPr>
            <w:tcW w:w="395" w:type="pct"/>
            <w:vAlign w:val="center"/>
            <w:tcBorders>
              <w:top w:val="nil"/>
              <w:left w:val="nil"/>
              <w:bottom w:val="single" w:color="auto" w:sz="4" w:space="0"/>
              <w:right w:val="single" w:color="auto" w:sz="4" w:space="0"/>
            </w:tcBorders>
            <w:shd w:val="clear" w:color="000000" w:fill="FFFFFF"/>
          </w:tcPr>
          <w:p w14:paraId="146B9815">
            <w:pPr>
              <w:widowControl w:val="1"/>
              <w:jc w:val="center"/>
              <w:rPr>
                <w:color w:val="auto"/>
                <w:sz w:val="22"/>
                <w:kern w:val="0"/>
                <w:rFonts w:ascii="宋体" w:hAnsi="宋体" w:eastAsia="宋体" w:cs="宋体"/>
              </w:rPr>
            </w:pPr>
            <w:r>
              <w:rPr>
                <w:color w:val="auto"/>
                <w:sz w:val="22"/>
                <w:kern w:val="0"/>
                <w:rFonts w:ascii="宋体" w:hAnsi="宋体" w:eastAsia="宋体" w:cs="宋体"/>
              </w:rPr>
              <w:t>2</w:t>
            </w:r>
          </w:p>
        </w:tc>
        <w:tc>
          <w:tcPr>
            <w:tcW w:w="973" w:type="pct"/>
            <w:vAlign w:val="center"/>
            <w:tcBorders>
              <w:top w:val="nil"/>
              <w:left w:val="nil"/>
              <w:bottom w:val="single" w:color="auto" w:sz="4" w:space="0"/>
              <w:right w:val="single" w:color="auto" w:sz="4" w:space="0"/>
            </w:tcBorders>
            <w:shd w:val="clear" w:color="000000" w:fill="FFFFFF"/>
          </w:tcPr>
          <w:p w14:paraId="7EB613B9">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4425797C">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shd w:val="clear" w:color="000000" w:fill="FFFFFF"/>
          </w:tcPr>
          <w:p w14:paraId="1B2E6453">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7</w:t>
            </w:r>
          </w:p>
        </w:tc>
        <w:tc>
          <w:tcPr>
            <w:tcW w:w="1343" w:type="pct"/>
            <w:vAlign w:val="center"/>
            <w:tcBorders>
              <w:top w:val="nil"/>
              <w:left w:val="nil"/>
              <w:bottom w:val="single" w:color="auto" w:sz="4" w:space="0"/>
              <w:right w:val="single" w:color="auto" w:sz="4" w:space="0"/>
            </w:tcBorders>
            <w:shd w:val="clear" w:color="000000" w:fill="FFFFFF"/>
          </w:tcPr>
          <w:p w14:paraId="5DCB8018">
            <w:pPr>
              <w:widowControl w:val="1"/>
              <w:jc w:val="center"/>
              <w:rPr>
                <w:color w:val="auto"/>
                <w:sz w:val="22"/>
                <w:kern w:val="0"/>
                <w:rFonts w:ascii="宋体" w:hAnsi="宋体" w:eastAsia="宋体" w:cs="宋体"/>
              </w:rPr>
            </w:pPr>
            <w:r>
              <w:rPr>
                <w:color w:val="auto"/>
                <w:sz w:val="22"/>
                <w:kern w:val="0"/>
                <w:rFonts w:ascii="宋体" w:hAnsi="宋体" w:eastAsia="宋体" w:cs="宋体"/>
              </w:rPr>
              <w:t>云服务器</w:t>
            </w:r>
          </w:p>
        </w:tc>
        <w:tc>
          <w:tcPr>
            <w:tcW w:w="1646" w:type="pct"/>
            <w:vAlign w:val="center"/>
            <w:tcBorders>
              <w:top w:val="nil"/>
              <w:left w:val="nil"/>
              <w:bottom w:val="single" w:color="auto" w:sz="4" w:space="0"/>
              <w:right w:val="single" w:color="auto" w:sz="4" w:space="0"/>
            </w:tcBorders>
            <w:shd w:val="clear" w:color="000000" w:fill="FFFFFF"/>
          </w:tcPr>
          <w:p w14:paraId="62FDFE8B">
            <w:pPr>
              <w:widowControl w:val="1"/>
              <w:jc w:val="left"/>
              <w:rPr>
                <w:color w:val="auto"/>
                <w:sz w:val="20"/>
                <w:kern w:val="0"/>
                <w:szCs w:val="20"/>
                <w:rFonts w:ascii="Times New Roman" w:hAnsi="Times New Roman" w:eastAsia="等线" w:cs="Times New Roman"/>
              </w:rPr>
            </w:pPr>
            <w:r>
              <w:rPr>
                <w:color w:val="auto"/>
                <w:sz w:val="20"/>
                <w:kern w:val="0"/>
                <w:szCs w:val="20"/>
                <w:rFonts w:ascii="Times New Roman" w:hAnsi="Times New Roman" w:eastAsia="等线" w:cs="Times New Roman"/>
              </w:rPr>
              <w:t>　</w:t>
            </w:r>
          </w:p>
        </w:tc>
        <w:tc>
          <w:tcPr>
            <w:tcW w:w="312" w:type="pct"/>
            <w:vAlign w:val="center"/>
            <w:tcBorders>
              <w:top w:val="nil"/>
              <w:left w:val="nil"/>
              <w:bottom w:val="single" w:color="auto" w:sz="4" w:space="0"/>
              <w:right w:val="single" w:color="auto" w:sz="4" w:space="0"/>
            </w:tcBorders>
            <w:shd w:val="clear" w:color="000000" w:fill="FFFFFF"/>
          </w:tcPr>
          <w:p w14:paraId="451B14EE">
            <w:pPr>
              <w:widowControl w:val="1"/>
              <w:jc w:val="center"/>
              <w:rPr>
                <w:color w:val="auto"/>
                <w:sz w:val="22"/>
                <w:kern w:val="0"/>
                <w:rFonts w:ascii="宋体" w:hAnsi="宋体" w:eastAsia="宋体" w:cs="宋体"/>
              </w:rPr>
            </w:pPr>
            <w:r>
              <w:rPr>
                <w:color w:val="auto"/>
                <w:sz w:val="22"/>
                <w:kern w:val="0"/>
                <w:rFonts w:ascii="宋体" w:hAnsi="宋体" w:eastAsia="宋体" w:cs="宋体"/>
              </w:rPr>
              <w:t>套</w:t>
            </w:r>
          </w:p>
        </w:tc>
        <w:tc>
          <w:tcPr>
            <w:tcW w:w="395" w:type="pct"/>
            <w:vAlign w:val="center"/>
            <w:tcBorders>
              <w:top w:val="nil"/>
              <w:left w:val="nil"/>
              <w:bottom w:val="single" w:color="auto" w:sz="4" w:space="0"/>
              <w:right w:val="single" w:color="auto" w:sz="4" w:space="0"/>
            </w:tcBorders>
            <w:shd w:val="clear" w:color="000000" w:fill="FFFFFF"/>
          </w:tcPr>
          <w:p w14:paraId="3AFEC0A8">
            <w:pPr>
              <w:widowControl w:val="1"/>
              <w:jc w:val="center"/>
              <w:rPr>
                <w:color w:val="auto"/>
                <w:sz w:val="22"/>
                <w:kern w:val="0"/>
                <w:rFonts w:ascii="宋体" w:hAnsi="宋体" w:eastAsia="宋体" w:cs="宋体"/>
              </w:rPr>
            </w:pPr>
            <w:r>
              <w:rPr>
                <w:color w:val="auto"/>
                <w:sz w:val="22"/>
                <w:kern w:val="0"/>
                <w:rFonts w:ascii="宋体" w:hAnsi="宋体" w:eastAsia="宋体" w:cs="宋体"/>
              </w:rPr>
              <w:t>2</w:t>
            </w:r>
          </w:p>
        </w:tc>
        <w:tc>
          <w:tcPr>
            <w:tcW w:w="973" w:type="pct"/>
            <w:vAlign w:val="center"/>
            <w:tcBorders>
              <w:top w:val="nil"/>
              <w:left w:val="nil"/>
              <w:bottom w:val="single" w:color="auto" w:sz="4" w:space="0"/>
              <w:right w:val="single" w:color="auto" w:sz="4" w:space="0"/>
            </w:tcBorders>
            <w:shd w:val="clear" w:color="000000" w:fill="FFFFFF"/>
          </w:tcPr>
          <w:p w14:paraId="5A31D0D6">
            <w:pPr>
              <w:widowControl w:val="1"/>
              <w:jc w:val="center"/>
              <w:rPr>
                <w:color w:val="auto"/>
                <w:sz w:val="22"/>
                <w:kern w:val="0"/>
                <w:rFonts w:ascii="宋体" w:hAnsi="宋体" w:eastAsia="宋体" w:cs="宋体"/>
              </w:rPr>
            </w:pPr>
            <w:r>
              <w:rPr>
                <w:color w:val="auto"/>
                <w:sz w:val="22"/>
                <w:kern w:val="0"/>
                <w:rFonts w:ascii="宋体" w:hAnsi="宋体" w:eastAsia="宋体" w:cs="宋体"/>
              </w:rPr>
              <w:t>3年服务期</w:t>
            </w:r>
          </w:p>
        </w:tc>
      </w:tr>
      <w:tr w14:paraId="7A903926">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shd w:val="clear" w:color="000000" w:fill="FFFFFF"/>
          </w:tcPr>
          <w:p w14:paraId="6CB2586B">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8</w:t>
            </w:r>
          </w:p>
        </w:tc>
        <w:tc>
          <w:tcPr>
            <w:tcW w:w="1343" w:type="pct"/>
            <w:vAlign w:val="center"/>
            <w:tcBorders>
              <w:top w:val="nil"/>
              <w:left w:val="nil"/>
              <w:bottom w:val="single" w:color="auto" w:sz="4" w:space="0"/>
              <w:right w:val="single" w:color="auto" w:sz="4" w:space="0"/>
            </w:tcBorders>
            <w:shd w:val="clear" w:color="000000" w:fill="FFFFFF"/>
          </w:tcPr>
          <w:p w14:paraId="10F700ED">
            <w:pPr>
              <w:widowControl w:val="1"/>
              <w:jc w:val="center"/>
              <w:rPr>
                <w:color w:val="auto"/>
                <w:sz w:val="22"/>
                <w:kern w:val="0"/>
                <w:rFonts w:ascii="宋体" w:hAnsi="宋体" w:eastAsia="宋体" w:cs="宋体"/>
              </w:rPr>
            </w:pPr>
            <w:r>
              <w:rPr>
                <w:color w:val="auto"/>
                <w:sz w:val="22"/>
                <w:kern w:val="0"/>
                <w:rFonts w:ascii="宋体" w:hAnsi="宋体" w:eastAsia="宋体" w:cs="宋体"/>
              </w:rPr>
              <w:t>云数据库</w:t>
            </w:r>
          </w:p>
        </w:tc>
        <w:tc>
          <w:tcPr>
            <w:tcW w:w="1646" w:type="pct"/>
            <w:vAlign w:val="center"/>
            <w:tcBorders>
              <w:top w:val="nil"/>
              <w:left w:val="nil"/>
              <w:bottom w:val="single" w:color="auto" w:sz="4" w:space="0"/>
              <w:right w:val="single" w:color="auto" w:sz="4" w:space="0"/>
            </w:tcBorders>
            <w:shd w:val="clear" w:color="000000" w:fill="FFFFFF"/>
          </w:tcPr>
          <w:p w14:paraId="6EEB47E8">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shd w:val="clear" w:color="000000" w:fill="FFFFFF"/>
          </w:tcPr>
          <w:p w14:paraId="533277E1">
            <w:pPr>
              <w:widowControl w:val="1"/>
              <w:jc w:val="center"/>
              <w:rPr>
                <w:color w:val="auto"/>
                <w:sz w:val="22"/>
                <w:kern w:val="0"/>
                <w:rFonts w:ascii="宋体" w:hAnsi="宋体" w:eastAsia="宋体" w:cs="宋体"/>
              </w:rPr>
            </w:pPr>
            <w:r>
              <w:rPr>
                <w:color w:val="auto"/>
                <w:sz w:val="22"/>
                <w:kern w:val="0"/>
                <w:rFonts w:ascii="宋体" w:hAnsi="宋体" w:eastAsia="宋体" w:cs="宋体"/>
              </w:rPr>
              <w:t>套</w:t>
            </w:r>
          </w:p>
        </w:tc>
        <w:tc>
          <w:tcPr>
            <w:tcW w:w="395" w:type="pct"/>
            <w:vAlign w:val="center"/>
            <w:tcBorders>
              <w:top w:val="nil"/>
              <w:left w:val="nil"/>
              <w:bottom w:val="single" w:color="auto" w:sz="4" w:space="0"/>
              <w:right w:val="single" w:color="auto" w:sz="4" w:space="0"/>
            </w:tcBorders>
            <w:shd w:val="clear" w:color="000000" w:fill="FFFFFF"/>
          </w:tcPr>
          <w:p w14:paraId="522DE275">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973" w:type="pct"/>
            <w:vAlign w:val="center"/>
            <w:tcBorders>
              <w:top w:val="nil"/>
              <w:left w:val="nil"/>
              <w:bottom w:val="single" w:color="auto" w:sz="4" w:space="0"/>
              <w:right w:val="single" w:color="auto" w:sz="4" w:space="0"/>
            </w:tcBorders>
            <w:shd w:val="clear" w:color="000000" w:fill="FFFFFF"/>
          </w:tcPr>
          <w:p w14:paraId="455575AD">
            <w:pPr>
              <w:widowControl w:val="1"/>
              <w:jc w:val="center"/>
              <w:rPr>
                <w:color w:val="auto"/>
                <w:sz w:val="22"/>
                <w:kern w:val="0"/>
                <w:rFonts w:ascii="宋体" w:hAnsi="宋体" w:eastAsia="宋体" w:cs="宋体"/>
              </w:rPr>
            </w:pPr>
            <w:r>
              <w:rPr>
                <w:color w:val="auto"/>
                <w:sz w:val="22"/>
                <w:kern w:val="0"/>
                <w:rFonts w:ascii="宋体" w:hAnsi="宋体" w:eastAsia="宋体" w:cs="宋体"/>
              </w:rPr>
              <w:t>3年服务期</w:t>
            </w:r>
          </w:p>
        </w:tc>
      </w:tr>
      <w:tr w14:paraId="1A9CF42B">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09ED55B4">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9</w:t>
            </w:r>
          </w:p>
        </w:tc>
        <w:tc>
          <w:tcPr>
            <w:tcW w:w="1343" w:type="pct"/>
            <w:vAlign w:val="center"/>
            <w:tcBorders>
              <w:top w:val="nil"/>
              <w:left w:val="nil"/>
              <w:bottom w:val="single" w:color="auto" w:sz="4" w:space="0"/>
              <w:right w:val="single" w:color="auto" w:sz="4" w:space="0"/>
            </w:tcBorders>
          </w:tcPr>
          <w:p w14:paraId="70FD8745">
            <w:pPr>
              <w:widowControl w:val="1"/>
              <w:jc w:val="center"/>
              <w:rPr>
                <w:color w:val="auto"/>
                <w:sz w:val="22"/>
                <w:kern w:val="0"/>
                <w:rFonts w:ascii="宋体" w:hAnsi="宋体" w:eastAsia="宋体" w:cs="宋体"/>
              </w:rPr>
            </w:pPr>
            <w:r>
              <w:rPr>
                <w:color w:val="auto"/>
                <w:sz w:val="22"/>
                <w:kern w:val="0"/>
                <w:rFonts w:ascii="宋体" w:hAnsi="宋体" w:eastAsia="宋体" w:cs="宋体"/>
              </w:rPr>
              <w:t>报警音响</w:t>
            </w:r>
          </w:p>
        </w:tc>
        <w:tc>
          <w:tcPr>
            <w:tcW w:w="1646" w:type="pct"/>
            <w:vAlign w:val="center"/>
            <w:tcBorders>
              <w:top w:val="nil"/>
              <w:left w:val="nil"/>
              <w:bottom w:val="single" w:color="auto" w:sz="4" w:space="0"/>
              <w:right w:val="single" w:color="auto" w:sz="4" w:space="0"/>
            </w:tcBorders>
          </w:tcPr>
          <w:p w14:paraId="493B5AB3">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tcPr>
          <w:p w14:paraId="05136FF4">
            <w:pPr>
              <w:widowControl w:val="1"/>
              <w:jc w:val="center"/>
              <w:rPr>
                <w:color w:val="auto"/>
                <w:sz w:val="22"/>
                <w:kern w:val="0"/>
                <w:rFonts w:ascii="宋体" w:hAnsi="宋体" w:eastAsia="宋体" w:cs="宋体"/>
              </w:rPr>
            </w:pPr>
            <w:r>
              <w:rPr>
                <w:color w:val="auto"/>
                <w:sz w:val="22"/>
                <w:kern w:val="0"/>
                <w:rFonts w:ascii="宋体" w:hAnsi="宋体" w:eastAsia="宋体" w:cs="宋体"/>
              </w:rPr>
              <w:t>套</w:t>
            </w:r>
          </w:p>
        </w:tc>
        <w:tc>
          <w:tcPr>
            <w:tcW w:w="395" w:type="pct"/>
            <w:vAlign w:val="center"/>
            <w:tcBorders>
              <w:top w:val="nil"/>
              <w:left w:val="nil"/>
              <w:bottom w:val="single" w:color="auto" w:sz="4" w:space="0"/>
              <w:right w:val="single" w:color="auto" w:sz="4" w:space="0"/>
            </w:tcBorders>
          </w:tcPr>
          <w:p w14:paraId="55BA9ED5">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973" w:type="pct"/>
            <w:vAlign w:val="center"/>
            <w:tcBorders>
              <w:top w:val="nil"/>
              <w:left w:val="nil"/>
              <w:bottom w:val="single" w:color="auto" w:sz="4" w:space="0"/>
              <w:right w:val="single" w:color="auto" w:sz="4" w:space="0"/>
            </w:tcBorders>
          </w:tcPr>
          <w:p w14:paraId="736C3E3F">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442D334B">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124FE413">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10</w:t>
            </w:r>
          </w:p>
        </w:tc>
        <w:tc>
          <w:tcPr>
            <w:tcW w:w="1343" w:type="pct"/>
            <w:vAlign w:val="center"/>
            <w:tcBorders>
              <w:top w:val="nil"/>
              <w:left w:val="nil"/>
              <w:bottom w:val="single" w:color="auto" w:sz="4" w:space="0"/>
              <w:right w:val="single" w:color="auto" w:sz="4" w:space="0"/>
            </w:tcBorders>
          </w:tcPr>
          <w:p w14:paraId="1DED6733">
            <w:pPr>
              <w:widowControl w:val="1"/>
              <w:jc w:val="center"/>
              <w:rPr>
                <w:color w:val="auto"/>
                <w:sz w:val="22"/>
                <w:kern w:val="0"/>
                <w:rFonts w:ascii="宋体" w:hAnsi="宋体" w:eastAsia="宋体" w:cs="宋体"/>
              </w:rPr>
            </w:pPr>
            <w:r>
              <w:rPr>
                <w:color w:val="auto"/>
                <w:sz w:val="22"/>
                <w:kern w:val="0"/>
                <w:rFonts w:ascii="宋体" w:hAnsi="宋体" w:eastAsia="宋体" w:cs="宋体"/>
              </w:rPr>
              <w:t>A4激光打印机</w:t>
            </w:r>
          </w:p>
        </w:tc>
        <w:tc>
          <w:tcPr>
            <w:tcW w:w="1646" w:type="pct"/>
            <w:vAlign w:val="center"/>
            <w:tcBorders>
              <w:top w:val="nil"/>
              <w:left w:val="nil"/>
              <w:bottom w:val="single" w:color="auto" w:sz="4" w:space="0"/>
              <w:right w:val="single" w:color="auto" w:sz="4" w:space="0"/>
            </w:tcBorders>
          </w:tcPr>
          <w:p w14:paraId="379CCF24">
            <w:pPr>
              <w:widowControl w:val="1"/>
              <w:jc w:val="center"/>
              <w:rPr>
                <w:color w:val="auto"/>
                <w:sz w:val="22"/>
                <w:kern w:val="0"/>
                <w:rFonts w:ascii="宋体" w:hAnsi="宋体" w:eastAsia="宋体" w:cs="宋体"/>
              </w:rPr>
            </w:pPr>
            <w:r>
              <w:rPr>
                <w:color w:val="auto"/>
                <w:sz w:val="22"/>
                <w:kern w:val="0"/>
                <w:rFonts w:ascii="宋体" w:hAnsi="宋体" w:eastAsia="宋体" w:cs="宋体"/>
              </w:rPr>
              <w:t>A4</w:t>
            </w:r>
          </w:p>
        </w:tc>
        <w:tc>
          <w:tcPr>
            <w:tcW w:w="312" w:type="pct"/>
            <w:vAlign w:val="center"/>
            <w:tcBorders>
              <w:top w:val="nil"/>
              <w:left w:val="nil"/>
              <w:bottom w:val="single" w:color="auto" w:sz="4" w:space="0"/>
              <w:right w:val="single" w:color="auto" w:sz="4" w:space="0"/>
            </w:tcBorders>
          </w:tcPr>
          <w:p w14:paraId="15C37A16">
            <w:pPr>
              <w:widowControl w:val="1"/>
              <w:jc w:val="center"/>
              <w:rPr>
                <w:color w:val="auto"/>
                <w:sz w:val="22"/>
                <w:kern w:val="0"/>
                <w:rFonts w:ascii="宋体" w:hAnsi="宋体" w:eastAsia="宋体" w:cs="宋体"/>
              </w:rPr>
            </w:pPr>
            <w:r>
              <w:rPr>
                <w:color w:val="auto"/>
                <w:sz w:val="22"/>
                <w:kern w:val="0"/>
                <w:rFonts w:ascii="宋体" w:hAnsi="宋体" w:eastAsia="宋体" w:cs="宋体"/>
              </w:rPr>
              <w:t>台</w:t>
            </w:r>
          </w:p>
        </w:tc>
        <w:tc>
          <w:tcPr>
            <w:tcW w:w="395" w:type="pct"/>
            <w:vAlign w:val="center"/>
            <w:tcBorders>
              <w:top w:val="nil"/>
              <w:left w:val="nil"/>
              <w:bottom w:val="single" w:color="auto" w:sz="4" w:space="0"/>
              <w:right w:val="single" w:color="auto" w:sz="4" w:space="0"/>
            </w:tcBorders>
          </w:tcPr>
          <w:p w14:paraId="072F67F3">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973" w:type="pct"/>
            <w:vAlign w:val="center"/>
            <w:tcBorders>
              <w:top w:val="nil"/>
              <w:left w:val="nil"/>
              <w:bottom w:val="single" w:color="auto" w:sz="4" w:space="0"/>
              <w:right w:val="single" w:color="auto" w:sz="4" w:space="0"/>
            </w:tcBorders>
          </w:tcPr>
          <w:p w14:paraId="40B39378">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153310BB">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15158FC7">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11</w:t>
            </w:r>
          </w:p>
        </w:tc>
        <w:tc>
          <w:tcPr>
            <w:tcW w:w="1343" w:type="pct"/>
            <w:vAlign w:val="center"/>
            <w:tcBorders>
              <w:top w:val="nil"/>
              <w:left w:val="nil"/>
              <w:bottom w:val="single" w:color="auto" w:sz="4" w:space="0"/>
              <w:right w:val="single" w:color="auto" w:sz="4" w:space="0"/>
            </w:tcBorders>
          </w:tcPr>
          <w:p w14:paraId="77397C5D">
            <w:pPr>
              <w:widowControl w:val="1"/>
              <w:jc w:val="center"/>
              <w:rPr>
                <w:color w:val="auto"/>
                <w:sz w:val="22"/>
                <w:kern w:val="0"/>
                <w:rFonts w:ascii="宋体" w:hAnsi="宋体" w:eastAsia="宋体" w:cs="宋体"/>
              </w:rPr>
            </w:pPr>
            <w:r>
              <w:rPr>
                <w:color w:val="auto"/>
                <w:sz w:val="22"/>
                <w:kern w:val="0"/>
                <w:rFonts w:ascii="宋体" w:hAnsi="宋体" w:eastAsia="宋体" w:cs="宋体"/>
              </w:rPr>
              <w:t>UPS电源</w:t>
            </w:r>
          </w:p>
        </w:tc>
        <w:tc>
          <w:tcPr>
            <w:tcW w:w="1646" w:type="pct"/>
            <w:vAlign w:val="center"/>
            <w:tcBorders>
              <w:top w:val="nil"/>
              <w:left w:val="nil"/>
              <w:bottom w:val="single" w:color="auto" w:sz="4" w:space="0"/>
              <w:right w:val="single" w:color="auto" w:sz="4" w:space="0"/>
            </w:tcBorders>
          </w:tcPr>
          <w:p w14:paraId="7364E907">
            <w:pPr>
              <w:widowControl w:val="1"/>
              <w:jc w:val="center"/>
              <w:rPr>
                <w:color w:val="auto"/>
                <w:sz w:val="22"/>
                <w:kern w:val="0"/>
                <w:rFonts w:ascii="宋体" w:hAnsi="宋体" w:eastAsia="宋体" w:cs="宋体"/>
              </w:rPr>
            </w:pPr>
            <w:r>
              <w:rPr>
                <w:color w:val="auto"/>
                <w:sz w:val="22"/>
                <w:kern w:val="0"/>
                <w:rFonts w:ascii="宋体" w:hAnsi="宋体" w:eastAsia="宋体" w:cs="宋体"/>
              </w:rPr>
              <w:t>3kVA/1H</w:t>
            </w:r>
          </w:p>
        </w:tc>
        <w:tc>
          <w:tcPr>
            <w:tcW w:w="312" w:type="pct"/>
            <w:vAlign w:val="center"/>
            <w:tcBorders>
              <w:top w:val="nil"/>
              <w:left w:val="nil"/>
              <w:bottom w:val="single" w:color="auto" w:sz="4" w:space="0"/>
              <w:right w:val="single" w:color="auto" w:sz="4" w:space="0"/>
            </w:tcBorders>
          </w:tcPr>
          <w:p w14:paraId="014CAB75">
            <w:pPr>
              <w:widowControl w:val="1"/>
              <w:jc w:val="center"/>
              <w:rPr>
                <w:color w:val="auto"/>
                <w:sz w:val="22"/>
                <w:kern w:val="0"/>
                <w:rFonts w:ascii="宋体" w:hAnsi="宋体" w:eastAsia="宋体" w:cs="宋体"/>
              </w:rPr>
            </w:pPr>
            <w:r>
              <w:rPr>
                <w:color w:val="auto"/>
                <w:sz w:val="22"/>
                <w:kern w:val="0"/>
                <w:rFonts w:ascii="宋体" w:hAnsi="宋体" w:eastAsia="宋体" w:cs="宋体"/>
              </w:rPr>
              <w:t>套</w:t>
            </w:r>
          </w:p>
        </w:tc>
        <w:tc>
          <w:tcPr>
            <w:tcW w:w="395" w:type="pct"/>
            <w:vAlign w:val="center"/>
            <w:tcBorders>
              <w:top w:val="nil"/>
              <w:left w:val="nil"/>
              <w:bottom w:val="single" w:color="auto" w:sz="4" w:space="0"/>
              <w:right w:val="single" w:color="auto" w:sz="4" w:space="0"/>
            </w:tcBorders>
          </w:tcPr>
          <w:p w14:paraId="755A48FE">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973" w:type="pct"/>
            <w:vAlign w:val="center"/>
            <w:tcBorders>
              <w:top w:val="nil"/>
              <w:left w:val="nil"/>
              <w:bottom w:val="single" w:color="auto" w:sz="4" w:space="0"/>
              <w:right w:val="single" w:color="auto" w:sz="4" w:space="0"/>
            </w:tcBorders>
          </w:tcPr>
          <w:p w14:paraId="23AF3FE6">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32AEDD09">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631595EC">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12</w:t>
            </w:r>
          </w:p>
        </w:tc>
        <w:tc>
          <w:tcPr>
            <w:tcW w:w="1343" w:type="pct"/>
            <w:vAlign w:val="center"/>
            <w:tcBorders>
              <w:top w:val="nil"/>
              <w:left w:val="nil"/>
              <w:bottom w:val="single" w:color="auto" w:sz="4" w:space="0"/>
              <w:right w:val="single" w:color="auto" w:sz="4" w:space="0"/>
            </w:tcBorders>
          </w:tcPr>
          <w:p w14:paraId="4E255D38">
            <w:pPr>
              <w:widowControl w:val="1"/>
              <w:jc w:val="center"/>
              <w:rPr>
                <w:color w:val="auto"/>
                <w:sz w:val="22"/>
                <w:kern w:val="0"/>
                <w:rFonts w:ascii="宋体" w:hAnsi="宋体" w:eastAsia="宋体" w:cs="宋体"/>
              </w:rPr>
            </w:pPr>
            <w:r>
              <w:rPr>
                <w:color w:val="auto"/>
                <w:sz w:val="22"/>
                <w:kern w:val="0"/>
                <w:rFonts w:ascii="宋体" w:hAnsi="宋体" w:eastAsia="宋体" w:cs="宋体"/>
              </w:rPr>
              <w:t>四工位操作台椅</w:t>
            </w:r>
          </w:p>
        </w:tc>
        <w:tc>
          <w:tcPr>
            <w:tcW w:w="1646" w:type="pct"/>
            <w:vAlign w:val="center"/>
            <w:tcBorders>
              <w:top w:val="nil"/>
              <w:left w:val="nil"/>
              <w:bottom w:val="single" w:color="auto" w:sz="4" w:space="0"/>
              <w:right w:val="single" w:color="auto" w:sz="4" w:space="0"/>
            </w:tcBorders>
          </w:tcPr>
          <w:p w14:paraId="0A76090F">
            <w:pPr>
              <w:widowControl w:val="1"/>
              <w:jc w:val="center"/>
              <w:rPr>
                <w:color w:val="auto"/>
                <w:sz w:val="22"/>
                <w:kern w:val="0"/>
                <w:rFonts w:ascii="宋体" w:hAnsi="宋体" w:eastAsia="宋体" w:cs="宋体"/>
              </w:rPr>
            </w:pPr>
            <w:r>
              <w:rPr>
                <w:color w:val="auto"/>
                <w:sz w:val="22"/>
                <w:kern w:val="0"/>
                <w:rFonts w:ascii="宋体" w:hAnsi="宋体" w:eastAsia="宋体" w:cs="宋体"/>
              </w:rPr>
              <w:t>四工位操作台椅</w:t>
            </w:r>
          </w:p>
        </w:tc>
        <w:tc>
          <w:tcPr>
            <w:tcW w:w="312" w:type="pct"/>
            <w:vAlign w:val="center"/>
            <w:tcBorders>
              <w:top w:val="nil"/>
              <w:left w:val="nil"/>
              <w:bottom w:val="single" w:color="auto" w:sz="4" w:space="0"/>
              <w:right w:val="single" w:color="auto" w:sz="4" w:space="0"/>
            </w:tcBorders>
          </w:tcPr>
          <w:p w14:paraId="6D464483">
            <w:pPr>
              <w:widowControl w:val="1"/>
              <w:jc w:val="center"/>
              <w:rPr>
                <w:color w:val="auto"/>
                <w:sz w:val="22"/>
                <w:kern w:val="0"/>
                <w:rFonts w:ascii="宋体" w:hAnsi="宋体" w:eastAsia="宋体" w:cs="宋体"/>
              </w:rPr>
            </w:pPr>
            <w:r>
              <w:rPr>
                <w:color w:val="auto"/>
                <w:sz w:val="22"/>
                <w:kern w:val="0"/>
                <w:rFonts w:ascii="宋体" w:hAnsi="宋体" w:eastAsia="宋体" w:cs="宋体"/>
              </w:rPr>
              <w:t>台</w:t>
            </w:r>
          </w:p>
        </w:tc>
        <w:tc>
          <w:tcPr>
            <w:tcW w:w="395" w:type="pct"/>
            <w:vAlign w:val="center"/>
            <w:tcBorders>
              <w:top w:val="nil"/>
              <w:left w:val="nil"/>
              <w:bottom w:val="single" w:color="auto" w:sz="4" w:space="0"/>
              <w:right w:val="single" w:color="auto" w:sz="4" w:space="0"/>
            </w:tcBorders>
          </w:tcPr>
          <w:p w14:paraId="3BBF3B0B">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973" w:type="pct"/>
            <w:vAlign w:val="center"/>
            <w:tcBorders>
              <w:top w:val="nil"/>
              <w:left w:val="nil"/>
              <w:bottom w:val="single" w:color="auto" w:sz="4" w:space="0"/>
              <w:right w:val="single" w:color="auto" w:sz="4" w:space="0"/>
            </w:tcBorders>
          </w:tcPr>
          <w:p w14:paraId="3248ECBD">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5FAA66AB">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79627BF5">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13</w:t>
            </w:r>
          </w:p>
        </w:tc>
        <w:tc>
          <w:tcPr>
            <w:tcW w:w="1343" w:type="pct"/>
            <w:vAlign w:val="center"/>
            <w:tcBorders>
              <w:top w:val="nil"/>
              <w:left w:val="nil"/>
              <w:bottom w:val="single" w:color="auto" w:sz="4" w:space="0"/>
              <w:right w:val="single" w:color="auto" w:sz="4" w:space="0"/>
            </w:tcBorders>
          </w:tcPr>
          <w:p w14:paraId="523A501A">
            <w:pPr>
              <w:widowControl w:val="1"/>
              <w:jc w:val="center"/>
              <w:rPr>
                <w:color w:val="auto"/>
                <w:sz w:val="22"/>
                <w:kern w:val="0"/>
                <w:rFonts w:ascii="宋体" w:hAnsi="宋体" w:eastAsia="宋体" w:cs="宋体"/>
              </w:rPr>
            </w:pPr>
            <w:r>
              <w:rPr>
                <w:color w:val="auto"/>
                <w:sz w:val="22"/>
                <w:kern w:val="0"/>
                <w:rFonts w:ascii="宋体" w:hAnsi="宋体" w:eastAsia="宋体" w:cs="宋体"/>
              </w:rPr>
              <w:t>通讯线</w:t>
            </w:r>
          </w:p>
        </w:tc>
        <w:tc>
          <w:tcPr>
            <w:tcW w:w="1646" w:type="pct"/>
            <w:vAlign w:val="center"/>
            <w:tcBorders>
              <w:top w:val="nil"/>
              <w:left w:val="nil"/>
              <w:bottom w:val="single" w:color="auto" w:sz="4" w:space="0"/>
              <w:right w:val="single" w:color="auto" w:sz="4" w:space="0"/>
            </w:tcBorders>
          </w:tcPr>
          <w:p w14:paraId="221FD714">
            <w:pPr>
              <w:widowControl w:val="1"/>
              <w:jc w:val="center"/>
              <w:rPr>
                <w:color w:val="auto"/>
                <w:sz w:val="22"/>
                <w:kern w:val="0"/>
                <w:rFonts w:ascii="宋体" w:hAnsi="宋体" w:eastAsia="宋体" w:cs="宋体"/>
              </w:rPr>
            </w:pPr>
            <w:r>
              <w:rPr>
                <w:color w:val="auto"/>
                <w:sz w:val="22"/>
                <w:kern w:val="0"/>
                <w:rFonts w:ascii="宋体" w:hAnsi="宋体" w:eastAsia="宋体" w:cs="宋体"/>
              </w:rPr>
              <w:t>RVVSP 2*0.75</w:t>
            </w:r>
          </w:p>
        </w:tc>
        <w:tc>
          <w:tcPr>
            <w:tcW w:w="312" w:type="pct"/>
            <w:vAlign w:val="center"/>
            <w:tcBorders>
              <w:top w:val="nil"/>
              <w:left w:val="nil"/>
              <w:bottom w:val="single" w:color="auto" w:sz="4" w:space="0"/>
              <w:right w:val="single" w:color="auto" w:sz="4" w:space="0"/>
            </w:tcBorders>
          </w:tcPr>
          <w:p w14:paraId="3A8AE7BE">
            <w:pPr>
              <w:widowControl w:val="1"/>
              <w:jc w:val="center"/>
              <w:rPr>
                <w:color w:val="auto"/>
                <w:sz w:val="22"/>
                <w:kern w:val="0"/>
                <w:rFonts w:ascii="宋体" w:hAnsi="宋体" w:eastAsia="宋体" w:cs="宋体"/>
              </w:rPr>
            </w:pPr>
            <w:r>
              <w:rPr>
                <w:color w:val="auto"/>
                <w:sz w:val="22"/>
                <w:kern w:val="0"/>
                <w:rFonts w:ascii="宋体" w:hAnsi="宋体" w:eastAsia="宋体" w:cs="宋体"/>
              </w:rPr>
              <w:t>米</w:t>
            </w:r>
          </w:p>
        </w:tc>
        <w:tc>
          <w:tcPr>
            <w:tcW w:w="395" w:type="pct"/>
            <w:vAlign w:val="center"/>
            <w:tcBorders>
              <w:top w:val="nil"/>
              <w:left w:val="nil"/>
              <w:bottom w:val="single" w:color="auto" w:sz="4" w:space="0"/>
              <w:right w:val="single" w:color="auto" w:sz="4" w:space="0"/>
            </w:tcBorders>
          </w:tcPr>
          <w:p w14:paraId="7DE936D1">
            <w:pPr>
              <w:widowControl w:val="1"/>
              <w:jc w:val="center"/>
              <w:rPr>
                <w:color w:val="auto"/>
                <w:sz w:val="22"/>
                <w:kern w:val="0"/>
                <w:rFonts w:ascii="宋体" w:hAnsi="宋体" w:eastAsia="宋体" w:cs="宋体"/>
              </w:rPr>
            </w:pPr>
            <w:r>
              <w:rPr>
                <w:color w:val="auto"/>
                <w:sz w:val="22"/>
                <w:kern w:val="0"/>
                <w:rFonts w:ascii="宋体" w:hAnsi="宋体" w:eastAsia="宋体" w:cs="宋体"/>
              </w:rPr>
              <w:t>1000</w:t>
            </w:r>
          </w:p>
        </w:tc>
        <w:tc>
          <w:tcPr>
            <w:tcW w:w="973" w:type="pct"/>
            <w:vAlign w:val="center"/>
            <w:tcBorders>
              <w:top w:val="nil"/>
              <w:left w:val="nil"/>
              <w:bottom w:val="single" w:color="auto" w:sz="4" w:space="0"/>
              <w:right w:val="single" w:color="auto" w:sz="4" w:space="0"/>
            </w:tcBorders>
          </w:tcPr>
          <w:p w14:paraId="76E8E51C">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395B6D34">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2731A5EF">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14</w:t>
            </w:r>
          </w:p>
        </w:tc>
        <w:tc>
          <w:tcPr>
            <w:tcW w:w="1343" w:type="pct"/>
            <w:vAlign w:val="center"/>
            <w:tcBorders>
              <w:top w:val="nil"/>
              <w:left w:val="nil"/>
              <w:bottom w:val="single" w:color="auto" w:sz="4" w:space="0"/>
              <w:right w:val="single" w:color="auto" w:sz="4" w:space="0"/>
            </w:tcBorders>
          </w:tcPr>
          <w:p w14:paraId="36B7864F">
            <w:pPr>
              <w:widowControl w:val="1"/>
              <w:jc w:val="center"/>
              <w:rPr>
                <w:color w:val="auto"/>
                <w:sz w:val="22"/>
                <w:kern w:val="0"/>
                <w:rFonts w:ascii="宋体" w:hAnsi="宋体" w:eastAsia="宋体" w:cs="宋体"/>
              </w:rPr>
            </w:pPr>
            <w:r>
              <w:rPr>
                <w:color w:val="auto"/>
                <w:sz w:val="22"/>
                <w:kern w:val="0"/>
                <w:rFonts w:ascii="宋体" w:hAnsi="宋体" w:eastAsia="宋体" w:cs="宋体"/>
              </w:rPr>
              <w:t>超五类屏蔽网线</w:t>
            </w:r>
          </w:p>
        </w:tc>
        <w:tc>
          <w:tcPr>
            <w:tcW w:w="1646" w:type="pct"/>
            <w:vAlign w:val="center"/>
            <w:tcBorders>
              <w:top w:val="nil"/>
              <w:left w:val="nil"/>
              <w:bottom w:val="single" w:color="auto" w:sz="4" w:space="0"/>
              <w:right w:val="single" w:color="auto" w:sz="4" w:space="0"/>
            </w:tcBorders>
          </w:tcPr>
          <w:p w14:paraId="39A85F4A">
            <w:pPr>
              <w:widowControl w:val="1"/>
              <w:jc w:val="center"/>
              <w:rPr>
                <w:color w:val="auto"/>
                <w:sz w:val="22"/>
                <w:kern w:val="0"/>
                <w:rFonts w:ascii="宋体" w:hAnsi="宋体" w:eastAsia="宋体" w:cs="宋体"/>
              </w:rPr>
            </w:pPr>
            <w:r>
              <w:rPr>
                <w:color w:val="auto"/>
                <w:sz w:val="22"/>
                <w:kern w:val="0"/>
                <w:rFonts w:ascii="宋体" w:hAnsi="宋体" w:eastAsia="宋体" w:cs="宋体"/>
              </w:rPr>
              <w:t>HSYVP5e 4*2*0.5 （305米/箱）</w:t>
            </w:r>
          </w:p>
        </w:tc>
        <w:tc>
          <w:tcPr>
            <w:tcW w:w="312" w:type="pct"/>
            <w:vAlign w:val="center"/>
            <w:tcBorders>
              <w:top w:val="nil"/>
              <w:left w:val="nil"/>
              <w:bottom w:val="single" w:color="auto" w:sz="4" w:space="0"/>
              <w:right w:val="single" w:color="auto" w:sz="4" w:space="0"/>
            </w:tcBorders>
          </w:tcPr>
          <w:p w14:paraId="0B5C6484">
            <w:pPr>
              <w:widowControl w:val="1"/>
              <w:jc w:val="center"/>
              <w:rPr>
                <w:color w:val="auto"/>
                <w:sz w:val="22"/>
                <w:kern w:val="0"/>
                <w:rFonts w:ascii="宋体" w:hAnsi="宋体" w:eastAsia="宋体" w:cs="宋体"/>
              </w:rPr>
            </w:pPr>
            <w:r>
              <w:rPr>
                <w:color w:val="auto"/>
                <w:sz w:val="22"/>
                <w:kern w:val="0"/>
                <w:rFonts w:ascii="宋体" w:hAnsi="宋体" w:eastAsia="宋体" w:cs="宋体"/>
              </w:rPr>
              <w:t>箱</w:t>
            </w:r>
          </w:p>
        </w:tc>
        <w:tc>
          <w:tcPr>
            <w:tcW w:w="395" w:type="pct"/>
            <w:vAlign w:val="center"/>
            <w:tcBorders>
              <w:top w:val="nil"/>
              <w:left w:val="nil"/>
              <w:bottom w:val="single" w:color="auto" w:sz="4" w:space="0"/>
              <w:right w:val="single" w:color="auto" w:sz="4" w:space="0"/>
            </w:tcBorders>
          </w:tcPr>
          <w:p w14:paraId="7288CC21">
            <w:pPr>
              <w:widowControl w:val="1"/>
              <w:jc w:val="center"/>
              <w:rPr>
                <w:color w:val="auto"/>
                <w:sz w:val="22"/>
                <w:kern w:val="0"/>
                <w:rFonts w:ascii="宋体" w:hAnsi="宋体" w:eastAsia="宋体" w:cs="宋体"/>
              </w:rPr>
            </w:pPr>
            <w:r>
              <w:rPr>
                <w:color w:val="auto"/>
                <w:sz w:val="22"/>
                <w:kern w:val="0"/>
                <w:rFonts w:ascii="宋体" w:hAnsi="宋体" w:eastAsia="宋体" w:cs="宋体"/>
              </w:rPr>
              <w:t>3</w:t>
            </w:r>
          </w:p>
        </w:tc>
        <w:tc>
          <w:tcPr>
            <w:tcW w:w="973" w:type="pct"/>
            <w:vAlign w:val="center"/>
            <w:tcBorders>
              <w:top w:val="nil"/>
              <w:left w:val="nil"/>
              <w:bottom w:val="single" w:color="auto" w:sz="4" w:space="0"/>
              <w:right w:val="single" w:color="auto" w:sz="4" w:space="0"/>
            </w:tcBorders>
          </w:tcPr>
          <w:p w14:paraId="050C0654">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3CA72264">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03792F92">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15</w:t>
            </w:r>
          </w:p>
        </w:tc>
        <w:tc>
          <w:tcPr>
            <w:tcW w:w="1343" w:type="pct"/>
            <w:vAlign w:val="center"/>
            <w:tcBorders>
              <w:top w:val="nil"/>
              <w:left w:val="nil"/>
              <w:bottom w:val="single" w:color="auto" w:sz="4" w:space="0"/>
              <w:right w:val="single" w:color="auto" w:sz="4" w:space="0"/>
            </w:tcBorders>
          </w:tcPr>
          <w:p w14:paraId="5B22B90C">
            <w:pPr>
              <w:widowControl w:val="1"/>
              <w:jc w:val="center"/>
              <w:rPr>
                <w:color w:val="auto"/>
                <w:sz w:val="22"/>
                <w:kern w:val="0"/>
                <w:rFonts w:ascii="宋体" w:hAnsi="宋体" w:eastAsia="宋体" w:cs="宋体"/>
              </w:rPr>
            </w:pPr>
            <w:r>
              <w:rPr>
                <w:color w:val="auto"/>
                <w:sz w:val="22"/>
                <w:kern w:val="0"/>
                <w:rFonts w:ascii="宋体" w:hAnsi="宋体" w:eastAsia="宋体" w:cs="宋体"/>
              </w:rPr>
              <w:t>系统调试服务费</w:t>
            </w:r>
          </w:p>
        </w:tc>
        <w:tc>
          <w:tcPr>
            <w:tcW w:w="1646" w:type="pct"/>
            <w:vAlign w:val="center"/>
            <w:tcBorders>
              <w:top w:val="nil"/>
              <w:left w:val="nil"/>
              <w:bottom w:val="single" w:color="auto" w:sz="4" w:space="0"/>
              <w:right w:val="single" w:color="auto" w:sz="4" w:space="0"/>
            </w:tcBorders>
          </w:tcPr>
          <w:p w14:paraId="5E21E65C">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tcPr>
          <w:p w14:paraId="558F51EE">
            <w:pPr>
              <w:widowControl w:val="1"/>
              <w:jc w:val="center"/>
              <w:rPr>
                <w:color w:val="auto"/>
                <w:sz w:val="22"/>
                <w:kern w:val="0"/>
                <w:rFonts w:ascii="宋体" w:hAnsi="宋体" w:eastAsia="宋体" w:cs="宋体"/>
              </w:rPr>
            </w:pPr>
            <w:r>
              <w:rPr>
                <w:color w:val="auto"/>
                <w:sz w:val="22"/>
                <w:kern w:val="0"/>
                <w:rFonts w:ascii="宋体" w:hAnsi="宋体" w:eastAsia="宋体" w:cs="宋体"/>
              </w:rPr>
              <w:t>项</w:t>
            </w:r>
          </w:p>
        </w:tc>
        <w:tc>
          <w:tcPr>
            <w:tcW w:w="395" w:type="pct"/>
            <w:vAlign w:val="center"/>
            <w:tcBorders>
              <w:top w:val="nil"/>
              <w:left w:val="nil"/>
              <w:bottom w:val="single" w:color="auto" w:sz="4" w:space="0"/>
              <w:right w:val="single" w:color="auto" w:sz="4" w:space="0"/>
            </w:tcBorders>
          </w:tcPr>
          <w:p w14:paraId="7646F09F">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973" w:type="pct"/>
            <w:vAlign w:val="center"/>
            <w:tcBorders>
              <w:top w:val="nil"/>
              <w:left w:val="nil"/>
              <w:bottom w:val="single" w:color="auto" w:sz="4" w:space="0"/>
              <w:right w:val="single" w:color="auto" w:sz="4" w:space="0"/>
            </w:tcBorders>
          </w:tcPr>
          <w:p w14:paraId="1A8A09D0">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26AE8C1F">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11629542">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二</w:t>
            </w:r>
          </w:p>
        </w:tc>
        <w:tc>
          <w:tcPr>
            <w:tcW w:w="3696" w:type="pct"/>
            <w:gridSpan w:val="4"/>
            <w:vAlign w:val="center"/>
            <w:tcBorders>
              <w:top w:val="single" w:color="auto" w:sz="4" w:space="0"/>
              <w:left w:val="nil"/>
              <w:bottom w:val="single" w:color="auto" w:sz="4" w:space="0"/>
              <w:right w:val="single" w:color="auto" w:sz="4" w:space="0"/>
            </w:tcBorders>
          </w:tcPr>
          <w:p w14:paraId="0E04B17D">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 xml:space="preserve">    电力监控装置</w:t>
            </w:r>
          </w:p>
        </w:tc>
        <w:tc>
          <w:tcPr>
            <w:tcW w:w="973" w:type="pct"/>
            <w:vAlign w:val="bottom"/>
            <w:tcBorders>
              <w:top w:val="nil"/>
              <w:left w:val="nil"/>
              <w:bottom w:val="single" w:color="auto" w:sz="4" w:space="0"/>
              <w:right w:val="single" w:color="auto" w:sz="4" w:space="0"/>
            </w:tcBorders>
          </w:tcPr>
          <w:p w14:paraId="6519B7D6">
            <w:pPr>
              <w:widowControl w:val="1"/>
              <w:jc w:val="left"/>
              <w:rPr>
                <w:color w:val="auto"/>
                <w:sz w:val="22"/>
                <w:kern w:val="0"/>
                <w:rFonts w:ascii="等线" w:hAnsi="等线" w:eastAsia="等线" w:cs="宋体"/>
              </w:rPr>
            </w:pPr>
            <w:r>
              <w:rPr>
                <w:color w:val="auto"/>
                <w:sz w:val="22"/>
                <w:kern w:val="0"/>
                <w:rFonts w:ascii="等线" w:hAnsi="等线" w:eastAsia="等线" w:cs="宋体"/>
              </w:rPr>
              <w:t>　</w:t>
            </w:r>
          </w:p>
        </w:tc>
      </w:tr>
      <w:tr w14:paraId="6DE17D35">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11425303">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1</w:t>
            </w:r>
          </w:p>
        </w:tc>
        <w:tc>
          <w:tcPr>
            <w:tcW w:w="3696" w:type="pct"/>
            <w:gridSpan w:val="4"/>
            <w:vAlign w:val="center"/>
            <w:tcBorders>
              <w:top w:val="single" w:color="auto" w:sz="4" w:space="0"/>
              <w:left w:val="nil"/>
              <w:bottom w:val="single" w:color="auto" w:sz="4" w:space="0"/>
              <w:right w:val="single" w:color="auto" w:sz="4" w:space="0"/>
            </w:tcBorders>
          </w:tcPr>
          <w:p w14:paraId="38775416">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配电箱漏电保护装置</w:t>
            </w:r>
          </w:p>
        </w:tc>
        <w:tc>
          <w:tcPr>
            <w:tcW w:w="973" w:type="pct"/>
            <w:vAlign w:val="bottom"/>
            <w:tcBorders>
              <w:top w:val="nil"/>
              <w:left w:val="nil"/>
              <w:bottom w:val="single" w:color="auto" w:sz="4" w:space="0"/>
              <w:right w:val="single" w:color="auto" w:sz="4" w:space="0"/>
            </w:tcBorders>
          </w:tcPr>
          <w:p w14:paraId="54E19A18">
            <w:pPr>
              <w:widowControl w:val="1"/>
              <w:jc w:val="left"/>
              <w:rPr>
                <w:color w:val="auto"/>
                <w:sz w:val="22"/>
                <w:kern w:val="0"/>
                <w:rFonts w:ascii="等线" w:hAnsi="等线" w:eastAsia="等线" w:cs="宋体"/>
              </w:rPr>
            </w:pPr>
            <w:r>
              <w:rPr>
                <w:color w:val="auto"/>
                <w:sz w:val="22"/>
                <w:kern w:val="0"/>
                <w:rFonts w:ascii="等线" w:hAnsi="等线" w:eastAsia="等线" w:cs="宋体"/>
              </w:rPr>
              <w:t>　</w:t>
            </w:r>
          </w:p>
        </w:tc>
      </w:tr>
      <w:tr w14:paraId="392B029B">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7E8D4912">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1.1</w:t>
            </w:r>
          </w:p>
        </w:tc>
        <w:tc>
          <w:tcPr>
            <w:tcW w:w="3696" w:type="pct"/>
            <w:gridSpan w:val="4"/>
            <w:vAlign w:val="center"/>
            <w:tcBorders>
              <w:top w:val="single" w:color="auto" w:sz="4" w:space="0"/>
              <w:left w:val="nil"/>
              <w:bottom w:val="single" w:color="auto" w:sz="4" w:space="0"/>
              <w:right w:val="single" w:color="auto" w:sz="4" w:space="0"/>
            </w:tcBorders>
          </w:tcPr>
          <w:p w14:paraId="0D392A42">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1号楼1-10楼</w:t>
            </w:r>
          </w:p>
        </w:tc>
        <w:tc>
          <w:tcPr>
            <w:tcW w:w="973" w:type="pct"/>
            <w:vAlign w:val="bottom"/>
            <w:tcBorders>
              <w:top w:val="nil"/>
              <w:left w:val="nil"/>
              <w:bottom w:val="single" w:color="auto" w:sz="4" w:space="0"/>
              <w:right w:val="single" w:color="auto" w:sz="4" w:space="0"/>
            </w:tcBorders>
          </w:tcPr>
          <w:p w14:paraId="6516DD0C">
            <w:pPr>
              <w:widowControl w:val="1"/>
              <w:jc w:val="left"/>
              <w:rPr>
                <w:color w:val="auto"/>
                <w:sz w:val="22"/>
                <w:kern w:val="0"/>
                <w:rFonts w:ascii="等线" w:hAnsi="等线" w:eastAsia="等线" w:cs="宋体"/>
              </w:rPr>
            </w:pPr>
            <w:r>
              <w:rPr>
                <w:color w:val="auto"/>
                <w:sz w:val="22"/>
                <w:kern w:val="0"/>
                <w:rFonts w:ascii="等线" w:hAnsi="等线" w:eastAsia="等线" w:cs="宋体"/>
              </w:rPr>
              <w:t>　</w:t>
            </w:r>
          </w:p>
        </w:tc>
      </w:tr>
      <w:tr w14:paraId="02EECCE1">
        <w:tblPrEx>
          <w:tblCellMar>
            <w:top w:type="dxa" w:w="0.000000"/>
            <w:bottom w:type="dxa" w:w="0.000000"/>
            <w:left w:type="dxa" w:w="108.000000"/>
            <w:right w:type="dxa" w:w="108.000000"/>
          </w:tblCellMar>
        </w:tblPrEx>
        <w:trPr>
          <w:trHeight w:val="576" w:hRule="atLeast"/>
        </w:trPr>
        <w:tc>
          <w:tcPr>
            <w:tcW w:w="331" w:type="pct"/>
            <w:vAlign w:val="center"/>
            <w:tcBorders>
              <w:top w:val="nil"/>
              <w:left w:val="single" w:color="auto" w:sz="4" w:space="0"/>
              <w:bottom w:val="single" w:color="auto" w:sz="4" w:space="0"/>
              <w:right w:val="single" w:color="auto" w:sz="4" w:space="0"/>
            </w:tcBorders>
          </w:tcPr>
          <w:p w14:paraId="420FC7B4">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1343" w:type="pct"/>
            <w:vAlign w:val="center"/>
            <w:tcBorders>
              <w:top w:val="nil"/>
              <w:left w:val="nil"/>
              <w:bottom w:val="single" w:color="auto" w:sz="4" w:space="0"/>
              <w:right w:val="single" w:color="auto" w:sz="4" w:space="0"/>
            </w:tcBorders>
          </w:tcPr>
          <w:p w14:paraId="726D2499">
            <w:pPr>
              <w:widowControl w:val="1"/>
              <w:jc w:val="center"/>
              <w:rPr>
                <w:color w:val="auto"/>
                <w:sz w:val="22"/>
                <w:kern w:val="0"/>
                <w:rFonts w:ascii="宋体" w:hAnsi="宋体" w:eastAsia="宋体" w:cs="宋体"/>
              </w:rPr>
            </w:pPr>
            <w:r>
              <w:rPr>
                <w:color w:val="auto"/>
                <w:sz w:val="22"/>
                <w:kern w:val="0"/>
                <w:rFonts w:ascii="宋体" w:hAnsi="宋体" w:eastAsia="宋体" w:cs="宋体"/>
              </w:rPr>
              <w:t>智能三相剩余电流动作继电器（4G机械款）</w:t>
            </w:r>
          </w:p>
        </w:tc>
        <w:tc>
          <w:tcPr>
            <w:tcW w:w="1646" w:type="pct"/>
            <w:vAlign w:val="center"/>
            <w:tcBorders>
              <w:top w:val="nil"/>
              <w:left w:val="nil"/>
              <w:bottom w:val="single" w:color="auto" w:sz="4" w:space="0"/>
              <w:right w:val="single" w:color="auto" w:sz="4" w:space="0"/>
            </w:tcBorders>
          </w:tcPr>
          <w:p w14:paraId="6021E41C">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tcPr>
          <w:p w14:paraId="0F3900FC">
            <w:pPr>
              <w:widowControl w:val="1"/>
              <w:jc w:val="center"/>
              <w:rPr>
                <w:color w:val="auto"/>
                <w:sz w:val="22"/>
                <w:kern w:val="0"/>
                <w:rFonts w:ascii="宋体" w:hAnsi="宋体" w:eastAsia="宋体" w:cs="宋体"/>
              </w:rPr>
            </w:pPr>
            <w:r>
              <w:rPr>
                <w:color w:val="auto"/>
                <w:sz w:val="22"/>
                <w:kern w:val="0"/>
                <w:rFonts w:ascii="宋体" w:hAnsi="宋体" w:eastAsia="宋体" w:cs="宋体"/>
              </w:rPr>
              <w:t>个</w:t>
            </w:r>
          </w:p>
        </w:tc>
        <w:tc>
          <w:tcPr>
            <w:tcW w:w="395" w:type="pct"/>
            <w:vAlign w:val="center"/>
            <w:tcBorders>
              <w:top w:val="nil"/>
              <w:left w:val="nil"/>
              <w:bottom w:val="single" w:color="auto" w:sz="4" w:space="0"/>
              <w:right w:val="single" w:color="auto" w:sz="4" w:space="0"/>
            </w:tcBorders>
          </w:tcPr>
          <w:p w14:paraId="18E76BDC">
            <w:pPr>
              <w:widowControl w:val="1"/>
              <w:jc w:val="center"/>
              <w:rPr>
                <w:color w:val="auto"/>
                <w:sz w:val="22"/>
                <w:kern w:val="0"/>
                <w:rFonts w:ascii="宋体" w:hAnsi="宋体" w:eastAsia="宋体" w:cs="宋体"/>
              </w:rPr>
            </w:pPr>
            <w:r>
              <w:rPr>
                <w:color w:val="auto"/>
                <w:sz w:val="22"/>
                <w:kern w:val="0"/>
                <w:rFonts w:ascii="宋体" w:hAnsi="宋体" w:eastAsia="宋体" w:cs="宋体"/>
              </w:rPr>
              <w:t>33</w:t>
            </w:r>
          </w:p>
        </w:tc>
        <w:tc>
          <w:tcPr>
            <w:tcW w:w="973" w:type="pct"/>
            <w:vAlign w:val="center"/>
            <w:tcBorders>
              <w:top w:val="nil"/>
              <w:left w:val="nil"/>
              <w:bottom w:val="single" w:color="auto" w:sz="4" w:space="0"/>
              <w:right w:val="single" w:color="auto" w:sz="4" w:space="0"/>
            </w:tcBorders>
          </w:tcPr>
          <w:p w14:paraId="0121A620">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151067B2">
        <w:tblPrEx>
          <w:tblCellMar>
            <w:top w:type="dxa" w:w="0.000000"/>
            <w:bottom w:type="dxa" w:w="0.000000"/>
            <w:left w:type="dxa" w:w="108.000000"/>
            <w:right w:type="dxa" w:w="108.000000"/>
          </w:tblCellMar>
        </w:tblPrEx>
        <w:trPr>
          <w:trHeight w:val="660" w:hRule="atLeast"/>
        </w:trPr>
        <w:tc>
          <w:tcPr>
            <w:tcW w:w="331" w:type="pct"/>
            <w:vMerge w:val="restart"/>
            <w:vAlign w:val="center"/>
            <w:tcBorders>
              <w:top w:val="nil"/>
              <w:left w:val="single" w:color="auto" w:sz="4" w:space="0"/>
              <w:bottom w:val="single" w:color="000000" w:sz="4" w:space="0"/>
              <w:right w:val="single" w:color="auto" w:sz="4" w:space="0"/>
            </w:tcBorders>
          </w:tcPr>
          <w:p w14:paraId="1E369082">
            <w:pPr>
              <w:widowControl w:val="1"/>
              <w:jc w:val="center"/>
              <w:rPr>
                <w:color w:val="auto"/>
                <w:sz w:val="22"/>
                <w:kern w:val="0"/>
                <w:rFonts w:ascii="宋体" w:hAnsi="宋体" w:eastAsia="宋体" w:cs="宋体"/>
              </w:rPr>
            </w:pPr>
            <w:r>
              <w:rPr>
                <w:color w:val="auto"/>
                <w:sz w:val="22"/>
                <w:kern w:val="0"/>
                <w:rFonts w:ascii="宋体" w:hAnsi="宋体" w:eastAsia="宋体" w:cs="宋体"/>
              </w:rPr>
              <w:t>(2)</w:t>
            </w:r>
          </w:p>
        </w:tc>
        <w:tc>
          <w:tcPr>
            <w:tcW w:w="1343" w:type="pct"/>
            <w:vMerge w:val="restart"/>
            <w:vAlign w:val="center"/>
            <w:tcBorders>
              <w:top w:val="nil"/>
              <w:left w:val="single" w:color="auto" w:sz="4" w:space="0"/>
              <w:bottom w:val="single" w:color="000000" w:sz="4" w:space="0"/>
              <w:right w:val="single" w:color="auto" w:sz="4" w:space="0"/>
            </w:tcBorders>
          </w:tcPr>
          <w:p w14:paraId="2E52961E">
            <w:pPr>
              <w:widowControl w:val="1"/>
              <w:jc w:val="center"/>
              <w:rPr>
                <w:color w:val="auto"/>
                <w:sz w:val="22"/>
                <w:kern w:val="0"/>
                <w:rFonts w:ascii="宋体" w:hAnsi="宋体" w:eastAsia="宋体" w:cs="宋体"/>
              </w:rPr>
            </w:pPr>
            <w:r>
              <w:rPr>
                <w:color w:val="auto"/>
                <w:sz w:val="22"/>
                <w:kern w:val="0"/>
                <w:rFonts w:ascii="宋体" w:hAnsi="宋体" w:eastAsia="宋体" w:cs="宋体"/>
              </w:rPr>
              <w:t>智能三相塑壳继电器</w:t>
            </w:r>
            <w:r>
              <w:br/>
              <w:rPr>
                <w:color w:val="auto"/>
                <w:sz w:val="22"/>
                <w:kern w:val="0"/>
                <w:rFonts w:ascii="宋体" w:hAnsi="宋体" w:eastAsia="宋体" w:cs="宋体"/>
              </w:rPr>
            </w:r>
            <w:r>
              <w:rPr>
                <w:color w:val="auto"/>
                <w:sz w:val="22"/>
                <w:kern w:val="0"/>
                <w:rFonts w:ascii="宋体" w:hAnsi="宋体" w:eastAsia="宋体" w:cs="宋体"/>
              </w:rPr>
              <w:t>（4G版本）</w:t>
            </w:r>
          </w:p>
        </w:tc>
        <w:tc>
          <w:tcPr>
            <w:tcW w:w="1646" w:type="pct"/>
            <w:vAlign w:val="center"/>
            <w:tcBorders>
              <w:top w:val="nil"/>
              <w:left w:val="nil"/>
              <w:bottom w:val="single" w:color="auto" w:sz="4" w:space="0"/>
              <w:right w:val="single" w:color="auto" w:sz="4" w:space="0"/>
            </w:tcBorders>
          </w:tcPr>
          <w:p w14:paraId="3155C1A5">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tcPr>
          <w:p w14:paraId="41F2B6BD">
            <w:pPr>
              <w:widowControl w:val="1"/>
              <w:jc w:val="center"/>
              <w:rPr>
                <w:color w:val="auto"/>
                <w:sz w:val="22"/>
                <w:kern w:val="0"/>
                <w:rFonts w:ascii="宋体" w:hAnsi="宋体" w:eastAsia="宋体" w:cs="宋体"/>
              </w:rPr>
            </w:pPr>
            <w:r>
              <w:rPr>
                <w:color w:val="auto"/>
                <w:sz w:val="22"/>
                <w:kern w:val="0"/>
                <w:rFonts w:ascii="宋体" w:hAnsi="宋体" w:eastAsia="宋体" w:cs="宋体"/>
              </w:rPr>
              <w:t>个</w:t>
            </w:r>
          </w:p>
        </w:tc>
        <w:tc>
          <w:tcPr>
            <w:tcW w:w="395" w:type="pct"/>
            <w:vAlign w:val="center"/>
            <w:tcBorders>
              <w:top w:val="nil"/>
              <w:left w:val="nil"/>
              <w:bottom w:val="single" w:color="auto" w:sz="4" w:space="0"/>
              <w:right w:val="single" w:color="auto" w:sz="4" w:space="0"/>
            </w:tcBorders>
          </w:tcPr>
          <w:p w14:paraId="1759400D">
            <w:pPr>
              <w:widowControl w:val="1"/>
              <w:jc w:val="center"/>
              <w:rPr>
                <w:color w:val="auto"/>
                <w:sz w:val="22"/>
                <w:kern w:val="0"/>
                <w:rFonts w:ascii="宋体" w:hAnsi="宋体" w:eastAsia="宋体" w:cs="宋体"/>
              </w:rPr>
            </w:pPr>
            <w:r>
              <w:rPr>
                <w:color w:val="auto"/>
                <w:sz w:val="22"/>
                <w:kern w:val="0"/>
                <w:rFonts w:ascii="宋体" w:hAnsi="宋体" w:eastAsia="宋体" w:cs="宋体"/>
              </w:rPr>
              <w:t>37</w:t>
            </w:r>
          </w:p>
        </w:tc>
        <w:tc>
          <w:tcPr>
            <w:tcW w:w="973" w:type="pct"/>
            <w:vAlign w:val="center"/>
            <w:tcBorders>
              <w:top w:val="nil"/>
              <w:left w:val="nil"/>
              <w:bottom w:val="single" w:color="auto" w:sz="4" w:space="0"/>
              <w:right w:val="single" w:color="auto" w:sz="4" w:space="0"/>
            </w:tcBorders>
          </w:tcPr>
          <w:p w14:paraId="55FAE42D">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560515B3">
        <w:tblPrEx>
          <w:tblCellMar>
            <w:top w:type="dxa" w:w="0.000000"/>
            <w:bottom w:type="dxa" w:w="0.000000"/>
            <w:left w:type="dxa" w:w="108.000000"/>
            <w:right w:type="dxa" w:w="108.000000"/>
          </w:tblCellMar>
        </w:tblPrEx>
        <w:trPr>
          <w:trHeight w:val="660" w:hRule="atLeast"/>
        </w:trPr>
        <w:tc>
          <w:tcPr>
            <w:tcW w:w="331" w:type="pct"/>
            <w:vMerge w:val="continue"/>
            <w:vAlign w:val="center"/>
            <w:tcBorders>
              <w:top w:val="nil"/>
              <w:left w:val="single" w:color="auto" w:sz="4" w:space="0"/>
              <w:bottom w:val="single" w:color="000000" w:sz="4" w:space="0"/>
              <w:right w:val="single" w:color="auto" w:sz="4" w:space="0"/>
            </w:tcBorders>
          </w:tcPr>
          <w:p w14:paraId="3166C6DF">
            <w:pPr>
              <w:widowControl w:val="1"/>
              <w:jc w:val="left"/>
              <w:rPr>
                <w:color w:val="auto"/>
                <w:sz w:val="22"/>
                <w:kern w:val="0"/>
                <w:rFonts w:ascii="宋体" w:hAnsi="宋体" w:eastAsia="宋体" w:cs="宋体"/>
              </w:rPr>
            </w:pPr>
          </w:p>
        </w:tc>
        <w:tc>
          <w:tcPr>
            <w:tcW w:w="1343" w:type="pct"/>
            <w:vMerge w:val="continue"/>
            <w:vAlign w:val="center"/>
            <w:tcBorders>
              <w:top w:val="nil"/>
              <w:left w:val="single" w:color="auto" w:sz="4" w:space="0"/>
              <w:bottom w:val="single" w:color="000000" w:sz="4" w:space="0"/>
              <w:right w:val="single" w:color="auto" w:sz="4" w:space="0"/>
            </w:tcBorders>
          </w:tcPr>
          <w:p w14:paraId="4EE81D1F">
            <w:pPr>
              <w:widowControl w:val="1"/>
              <w:jc w:val="left"/>
              <w:rPr>
                <w:color w:val="auto"/>
                <w:sz w:val="22"/>
                <w:kern w:val="0"/>
                <w:rFonts w:ascii="宋体" w:hAnsi="宋体" w:eastAsia="宋体" w:cs="宋体"/>
              </w:rPr>
            </w:pPr>
          </w:p>
        </w:tc>
        <w:tc>
          <w:tcPr>
            <w:tcW w:w="1646" w:type="pct"/>
            <w:vAlign w:val="center"/>
            <w:tcBorders>
              <w:top w:val="nil"/>
              <w:left w:val="nil"/>
              <w:bottom w:val="single" w:color="auto" w:sz="4" w:space="0"/>
              <w:right w:val="single" w:color="auto" w:sz="4" w:space="0"/>
            </w:tcBorders>
          </w:tcPr>
          <w:p w14:paraId="39B20C5F">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tcPr>
          <w:p w14:paraId="7E9177BE">
            <w:pPr>
              <w:widowControl w:val="1"/>
              <w:jc w:val="center"/>
              <w:rPr>
                <w:color w:val="auto"/>
                <w:sz w:val="22"/>
                <w:kern w:val="0"/>
                <w:rFonts w:ascii="宋体" w:hAnsi="宋体" w:eastAsia="宋体" w:cs="宋体"/>
              </w:rPr>
            </w:pPr>
            <w:r>
              <w:rPr>
                <w:color w:val="auto"/>
                <w:sz w:val="22"/>
                <w:kern w:val="0"/>
                <w:rFonts w:ascii="宋体" w:hAnsi="宋体" w:eastAsia="宋体" w:cs="宋体"/>
              </w:rPr>
              <w:t>个</w:t>
            </w:r>
          </w:p>
        </w:tc>
        <w:tc>
          <w:tcPr>
            <w:tcW w:w="395" w:type="pct"/>
            <w:vAlign w:val="center"/>
            <w:tcBorders>
              <w:top w:val="nil"/>
              <w:left w:val="nil"/>
              <w:bottom w:val="single" w:color="auto" w:sz="4" w:space="0"/>
              <w:right w:val="single" w:color="auto" w:sz="4" w:space="0"/>
            </w:tcBorders>
          </w:tcPr>
          <w:p w14:paraId="2DABAF0F">
            <w:pPr>
              <w:widowControl w:val="1"/>
              <w:jc w:val="center"/>
              <w:rPr>
                <w:color w:val="auto"/>
                <w:sz w:val="22"/>
                <w:kern w:val="0"/>
                <w:rFonts w:ascii="宋体" w:hAnsi="宋体" w:eastAsia="宋体" w:cs="宋体"/>
              </w:rPr>
            </w:pPr>
            <w:r>
              <w:rPr>
                <w:color w:val="auto"/>
                <w:sz w:val="22"/>
                <w:kern w:val="0"/>
                <w:rFonts w:ascii="宋体" w:hAnsi="宋体" w:eastAsia="宋体" w:cs="宋体"/>
              </w:rPr>
              <w:t>11</w:t>
            </w:r>
          </w:p>
        </w:tc>
        <w:tc>
          <w:tcPr>
            <w:tcW w:w="973" w:type="pct"/>
            <w:vAlign w:val="center"/>
            <w:tcBorders>
              <w:top w:val="nil"/>
              <w:left w:val="nil"/>
              <w:bottom w:val="single" w:color="auto" w:sz="4" w:space="0"/>
              <w:right w:val="single" w:color="auto" w:sz="4" w:space="0"/>
            </w:tcBorders>
          </w:tcPr>
          <w:p w14:paraId="2E678FD1">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4A294000">
        <w:tblPrEx>
          <w:tblCellMar>
            <w:top w:type="dxa" w:w="0.000000"/>
            <w:bottom w:type="dxa" w:w="0.000000"/>
            <w:left w:type="dxa" w:w="108.000000"/>
            <w:right w:type="dxa" w:w="108.000000"/>
          </w:tblCellMar>
        </w:tblPrEx>
        <w:trPr>
          <w:trHeight w:val="432" w:hRule="atLeast"/>
        </w:trPr>
        <w:tc>
          <w:tcPr>
            <w:tcW w:w="331" w:type="pct"/>
            <w:vAlign w:val="center"/>
            <w:tcBorders>
              <w:top w:val="nil"/>
              <w:left w:val="single" w:color="auto" w:sz="4" w:space="0"/>
              <w:bottom w:val="single" w:color="auto" w:sz="4" w:space="0"/>
              <w:right w:val="single" w:color="auto" w:sz="4" w:space="0"/>
            </w:tcBorders>
          </w:tcPr>
          <w:p w14:paraId="1C1E4687">
            <w:pPr>
              <w:widowControl w:val="1"/>
              <w:jc w:val="center"/>
              <w:rPr>
                <w:color w:val="auto"/>
                <w:sz w:val="22"/>
                <w:kern w:val="0"/>
                <w:rFonts w:ascii="宋体" w:hAnsi="宋体" w:eastAsia="宋体" w:cs="宋体"/>
              </w:rPr>
            </w:pPr>
            <w:r>
              <w:rPr>
                <w:color w:val="auto"/>
                <w:sz w:val="22"/>
                <w:kern w:val="0"/>
                <w:rFonts w:ascii="宋体" w:hAnsi="宋体" w:eastAsia="宋体" w:cs="宋体"/>
              </w:rPr>
              <w:t>(3)</w:t>
            </w:r>
          </w:p>
        </w:tc>
        <w:tc>
          <w:tcPr>
            <w:tcW w:w="1343" w:type="pct"/>
            <w:vAlign w:val="center"/>
            <w:tcBorders>
              <w:top w:val="nil"/>
              <w:left w:val="nil"/>
              <w:bottom w:val="single" w:color="auto" w:sz="4" w:space="0"/>
              <w:right w:val="single" w:color="auto" w:sz="4" w:space="0"/>
            </w:tcBorders>
          </w:tcPr>
          <w:p w14:paraId="50845BFE">
            <w:pPr>
              <w:widowControl w:val="1"/>
              <w:jc w:val="center"/>
              <w:rPr>
                <w:color w:val="auto"/>
                <w:sz w:val="22"/>
                <w:kern w:val="0"/>
                <w:rFonts w:ascii="宋体" w:hAnsi="宋体" w:eastAsia="宋体" w:cs="宋体"/>
              </w:rPr>
            </w:pPr>
            <w:r>
              <w:rPr>
                <w:color w:val="auto"/>
                <w:sz w:val="22"/>
                <w:kern w:val="0"/>
                <w:rFonts w:ascii="宋体" w:hAnsi="宋体" w:eastAsia="宋体" w:cs="宋体"/>
              </w:rPr>
              <w:t>数据通讯</w:t>
            </w:r>
          </w:p>
        </w:tc>
        <w:tc>
          <w:tcPr>
            <w:tcW w:w="1646" w:type="pct"/>
            <w:vAlign w:val="center"/>
            <w:tcBorders>
              <w:top w:val="nil"/>
              <w:left w:val="nil"/>
              <w:bottom w:val="single" w:color="auto" w:sz="4" w:space="0"/>
              <w:right w:val="single" w:color="auto" w:sz="4" w:space="0"/>
            </w:tcBorders>
          </w:tcPr>
          <w:p w14:paraId="00CA0CE6">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tcPr>
          <w:p w14:paraId="625D7D10">
            <w:pPr>
              <w:widowControl w:val="1"/>
              <w:jc w:val="center"/>
              <w:rPr>
                <w:color w:val="auto"/>
                <w:sz w:val="22"/>
                <w:kern w:val="0"/>
                <w:rFonts w:ascii="宋体" w:hAnsi="宋体" w:eastAsia="宋体" w:cs="宋体"/>
              </w:rPr>
            </w:pPr>
            <w:r>
              <w:rPr>
                <w:color w:val="auto"/>
                <w:sz w:val="22"/>
                <w:kern w:val="0"/>
                <w:rFonts w:ascii="宋体" w:hAnsi="宋体" w:eastAsia="宋体" w:cs="宋体"/>
              </w:rPr>
              <w:t>套</w:t>
            </w:r>
          </w:p>
        </w:tc>
        <w:tc>
          <w:tcPr>
            <w:tcW w:w="395" w:type="pct"/>
            <w:vAlign w:val="center"/>
            <w:tcBorders>
              <w:top w:val="nil"/>
              <w:left w:val="nil"/>
              <w:bottom w:val="single" w:color="auto" w:sz="4" w:space="0"/>
              <w:right w:val="single" w:color="auto" w:sz="4" w:space="0"/>
            </w:tcBorders>
          </w:tcPr>
          <w:p w14:paraId="3793C0C8">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973" w:type="pct"/>
            <w:vAlign w:val="center"/>
            <w:tcBorders>
              <w:top w:val="nil"/>
              <w:left w:val="nil"/>
              <w:bottom w:val="single" w:color="auto" w:sz="4" w:space="0"/>
              <w:right w:val="single" w:color="auto" w:sz="4" w:space="0"/>
            </w:tcBorders>
          </w:tcPr>
          <w:p w14:paraId="3A578229">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5A40DEF9">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2B89296D">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1.2</w:t>
            </w:r>
          </w:p>
        </w:tc>
        <w:tc>
          <w:tcPr>
            <w:tcW w:w="3696" w:type="pct"/>
            <w:gridSpan w:val="4"/>
            <w:vAlign w:val="center"/>
            <w:tcBorders>
              <w:top w:val="single" w:color="auto" w:sz="4" w:space="0"/>
              <w:left w:val="nil"/>
              <w:bottom w:val="single" w:color="auto" w:sz="4" w:space="0"/>
              <w:right w:val="single" w:color="auto" w:sz="4" w:space="0"/>
            </w:tcBorders>
          </w:tcPr>
          <w:p w14:paraId="480703E1">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2号楼1-9楼</w:t>
            </w:r>
          </w:p>
        </w:tc>
        <w:tc>
          <w:tcPr>
            <w:tcW w:w="973" w:type="pct"/>
            <w:vAlign w:val="bottom"/>
            <w:tcBorders>
              <w:top w:val="nil"/>
              <w:left w:val="nil"/>
              <w:bottom w:val="single" w:color="auto" w:sz="4" w:space="0"/>
              <w:right w:val="single" w:color="auto" w:sz="4" w:space="0"/>
            </w:tcBorders>
          </w:tcPr>
          <w:p w14:paraId="502C9AF1">
            <w:pPr>
              <w:widowControl w:val="1"/>
              <w:jc w:val="left"/>
              <w:rPr>
                <w:color w:val="auto"/>
                <w:sz w:val="22"/>
                <w:kern w:val="0"/>
                <w:rFonts w:ascii="等线" w:hAnsi="等线" w:eastAsia="等线" w:cs="宋体"/>
              </w:rPr>
            </w:pPr>
            <w:r>
              <w:rPr>
                <w:color w:val="auto"/>
                <w:sz w:val="22"/>
                <w:kern w:val="0"/>
                <w:rFonts w:ascii="等线" w:hAnsi="等线" w:eastAsia="等线" w:cs="宋体"/>
              </w:rPr>
              <w:t>　</w:t>
            </w:r>
          </w:p>
        </w:tc>
      </w:tr>
      <w:tr w14:paraId="3DC64A4C">
        <w:tblPrEx>
          <w:tblCellMar>
            <w:top w:type="dxa" w:w="0.000000"/>
            <w:bottom w:type="dxa" w:w="0.000000"/>
            <w:left w:type="dxa" w:w="108.000000"/>
            <w:right w:type="dxa" w:w="108.000000"/>
          </w:tblCellMar>
        </w:tblPrEx>
        <w:trPr>
          <w:trHeight w:val="660" w:hRule="atLeast"/>
        </w:trPr>
        <w:tc>
          <w:tcPr>
            <w:tcW w:w="331" w:type="pct"/>
            <w:vAlign w:val="center"/>
            <w:tcBorders>
              <w:top w:val="nil"/>
              <w:left w:val="single" w:color="auto" w:sz="4" w:space="0"/>
              <w:bottom w:val="single" w:color="auto" w:sz="4" w:space="0"/>
              <w:right w:val="single" w:color="auto" w:sz="4" w:space="0"/>
            </w:tcBorders>
          </w:tcPr>
          <w:p w14:paraId="05B6E4FB">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1343" w:type="pct"/>
            <w:vAlign w:val="center"/>
            <w:tcBorders>
              <w:top w:val="nil"/>
              <w:left w:val="nil"/>
              <w:bottom w:val="single" w:color="auto" w:sz="4" w:space="0"/>
              <w:right w:val="single" w:color="auto" w:sz="4" w:space="0"/>
            </w:tcBorders>
          </w:tcPr>
          <w:p w14:paraId="547B2196">
            <w:pPr>
              <w:widowControl w:val="1"/>
              <w:jc w:val="center"/>
              <w:rPr>
                <w:color w:val="auto"/>
                <w:sz w:val="22"/>
                <w:kern w:val="0"/>
                <w:rFonts w:ascii="宋体" w:hAnsi="宋体" w:eastAsia="宋体" w:cs="宋体"/>
              </w:rPr>
            </w:pPr>
            <w:r>
              <w:rPr>
                <w:color w:val="auto"/>
                <w:sz w:val="22"/>
                <w:kern w:val="0"/>
                <w:rFonts w:ascii="宋体" w:hAnsi="宋体" w:eastAsia="宋体" w:cs="宋体"/>
              </w:rPr>
              <w:t>智能单相剩余电流动作继电器（4G机械款）</w:t>
            </w:r>
          </w:p>
        </w:tc>
        <w:tc>
          <w:tcPr>
            <w:tcW w:w="1646" w:type="pct"/>
            <w:vAlign w:val="center"/>
            <w:tcBorders>
              <w:top w:val="nil"/>
              <w:left w:val="nil"/>
              <w:bottom w:val="single" w:color="auto" w:sz="4" w:space="0"/>
              <w:right w:val="single" w:color="auto" w:sz="4" w:space="0"/>
            </w:tcBorders>
          </w:tcPr>
          <w:p w14:paraId="12C45E5F">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tcPr>
          <w:p w14:paraId="1265250D">
            <w:pPr>
              <w:widowControl w:val="1"/>
              <w:jc w:val="center"/>
              <w:rPr>
                <w:color w:val="auto"/>
                <w:sz w:val="22"/>
                <w:kern w:val="0"/>
                <w:rFonts w:ascii="宋体" w:hAnsi="宋体" w:eastAsia="宋体" w:cs="宋体"/>
              </w:rPr>
            </w:pPr>
            <w:r>
              <w:rPr>
                <w:color w:val="auto"/>
                <w:sz w:val="22"/>
                <w:kern w:val="0"/>
                <w:rFonts w:ascii="宋体" w:hAnsi="宋体" w:eastAsia="宋体" w:cs="宋体"/>
              </w:rPr>
              <w:t>个</w:t>
            </w:r>
          </w:p>
        </w:tc>
        <w:tc>
          <w:tcPr>
            <w:tcW w:w="395" w:type="pct"/>
            <w:vAlign w:val="center"/>
            <w:tcBorders>
              <w:top w:val="nil"/>
              <w:left w:val="nil"/>
              <w:bottom w:val="single" w:color="auto" w:sz="4" w:space="0"/>
              <w:right w:val="single" w:color="auto" w:sz="4" w:space="0"/>
            </w:tcBorders>
          </w:tcPr>
          <w:p w14:paraId="4D4B2296">
            <w:pPr>
              <w:widowControl w:val="1"/>
              <w:jc w:val="center"/>
              <w:rPr>
                <w:color w:val="auto"/>
                <w:sz w:val="22"/>
                <w:kern w:val="0"/>
                <w:rFonts w:ascii="宋体" w:hAnsi="宋体" w:eastAsia="宋体" w:cs="宋体"/>
              </w:rPr>
            </w:pPr>
            <w:r>
              <w:rPr>
                <w:color w:val="auto"/>
                <w:sz w:val="22"/>
                <w:kern w:val="0"/>
                <w:rFonts w:ascii="宋体" w:hAnsi="宋体" w:eastAsia="宋体" w:cs="宋体"/>
              </w:rPr>
              <w:t>100</w:t>
            </w:r>
          </w:p>
        </w:tc>
        <w:tc>
          <w:tcPr>
            <w:tcW w:w="973" w:type="pct"/>
            <w:vAlign w:val="center"/>
            <w:tcBorders>
              <w:top w:val="nil"/>
              <w:left w:val="nil"/>
              <w:bottom w:val="single" w:color="auto" w:sz="4" w:space="0"/>
              <w:right w:val="single" w:color="auto" w:sz="4" w:space="0"/>
            </w:tcBorders>
          </w:tcPr>
          <w:p w14:paraId="567ABD8A">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13223BB7">
        <w:tblPrEx>
          <w:tblCellMar>
            <w:top w:type="dxa" w:w="0.000000"/>
            <w:bottom w:type="dxa" w:w="0.000000"/>
            <w:left w:type="dxa" w:w="108.000000"/>
            <w:right w:type="dxa" w:w="108.000000"/>
          </w:tblCellMar>
        </w:tblPrEx>
        <w:trPr>
          <w:trHeight w:val="660" w:hRule="atLeast"/>
        </w:trPr>
        <w:tc>
          <w:tcPr>
            <w:tcW w:w="331" w:type="pct"/>
            <w:vAlign w:val="center"/>
            <w:tcBorders>
              <w:top w:val="nil"/>
              <w:left w:val="single" w:color="auto" w:sz="4" w:space="0"/>
              <w:bottom w:val="single" w:color="auto" w:sz="4" w:space="0"/>
              <w:right w:val="single" w:color="auto" w:sz="4" w:space="0"/>
            </w:tcBorders>
          </w:tcPr>
          <w:p w14:paraId="7B1D266A">
            <w:pPr>
              <w:widowControl w:val="1"/>
              <w:jc w:val="center"/>
              <w:rPr>
                <w:color w:val="auto"/>
                <w:sz w:val="22"/>
                <w:kern w:val="0"/>
                <w:rFonts w:ascii="宋体" w:hAnsi="宋体" w:eastAsia="宋体" w:cs="宋体"/>
              </w:rPr>
            </w:pPr>
            <w:r>
              <w:rPr>
                <w:color w:val="auto"/>
                <w:sz w:val="22"/>
                <w:kern w:val="0"/>
                <w:rFonts w:ascii="宋体" w:hAnsi="宋体" w:eastAsia="宋体" w:cs="宋体"/>
              </w:rPr>
              <w:t>(2)</w:t>
            </w:r>
          </w:p>
        </w:tc>
        <w:tc>
          <w:tcPr>
            <w:tcW w:w="1343" w:type="pct"/>
            <w:vAlign w:val="center"/>
            <w:tcBorders>
              <w:top w:val="nil"/>
              <w:left w:val="nil"/>
              <w:bottom w:val="single" w:color="auto" w:sz="4" w:space="0"/>
              <w:right w:val="single" w:color="auto" w:sz="4" w:space="0"/>
            </w:tcBorders>
          </w:tcPr>
          <w:p w14:paraId="2857A46C">
            <w:pPr>
              <w:widowControl w:val="1"/>
              <w:jc w:val="center"/>
              <w:rPr>
                <w:color w:val="auto"/>
                <w:sz w:val="22"/>
                <w:kern w:val="0"/>
                <w:rFonts w:ascii="宋体" w:hAnsi="宋体" w:eastAsia="宋体" w:cs="宋体"/>
              </w:rPr>
            </w:pPr>
            <w:r>
              <w:rPr>
                <w:color w:val="auto"/>
                <w:sz w:val="22"/>
                <w:kern w:val="0"/>
                <w:rFonts w:ascii="宋体" w:hAnsi="宋体" w:eastAsia="宋体" w:cs="宋体"/>
              </w:rPr>
              <w:t>智能三相剩余电流动作继电器（4G机械款）</w:t>
            </w:r>
          </w:p>
        </w:tc>
        <w:tc>
          <w:tcPr>
            <w:tcW w:w="1646" w:type="pct"/>
            <w:vAlign w:val="center"/>
            <w:tcBorders>
              <w:top w:val="nil"/>
              <w:left w:val="nil"/>
              <w:bottom w:val="single" w:color="auto" w:sz="4" w:space="0"/>
              <w:right w:val="single" w:color="auto" w:sz="4" w:space="0"/>
            </w:tcBorders>
          </w:tcPr>
          <w:p w14:paraId="454B9D13">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tcPr>
          <w:p w14:paraId="00D5B394">
            <w:pPr>
              <w:widowControl w:val="1"/>
              <w:jc w:val="center"/>
              <w:rPr>
                <w:color w:val="auto"/>
                <w:sz w:val="22"/>
                <w:kern w:val="0"/>
                <w:rFonts w:ascii="宋体" w:hAnsi="宋体" w:eastAsia="宋体" w:cs="宋体"/>
              </w:rPr>
            </w:pPr>
            <w:r>
              <w:rPr>
                <w:color w:val="auto"/>
                <w:sz w:val="22"/>
                <w:kern w:val="0"/>
                <w:rFonts w:ascii="宋体" w:hAnsi="宋体" w:eastAsia="宋体" w:cs="宋体"/>
              </w:rPr>
              <w:t>个</w:t>
            </w:r>
          </w:p>
        </w:tc>
        <w:tc>
          <w:tcPr>
            <w:tcW w:w="395" w:type="pct"/>
            <w:vAlign w:val="center"/>
            <w:tcBorders>
              <w:top w:val="nil"/>
              <w:left w:val="nil"/>
              <w:bottom w:val="single" w:color="auto" w:sz="4" w:space="0"/>
              <w:right w:val="single" w:color="auto" w:sz="4" w:space="0"/>
            </w:tcBorders>
          </w:tcPr>
          <w:p w14:paraId="2156E7CB">
            <w:pPr>
              <w:widowControl w:val="1"/>
              <w:jc w:val="center"/>
              <w:rPr>
                <w:color w:val="auto"/>
                <w:sz w:val="22"/>
                <w:kern w:val="0"/>
                <w:rFonts w:ascii="宋体" w:hAnsi="宋体" w:eastAsia="宋体" w:cs="宋体"/>
              </w:rPr>
            </w:pPr>
            <w:r>
              <w:rPr>
                <w:color w:val="auto"/>
                <w:sz w:val="22"/>
                <w:kern w:val="0"/>
                <w:rFonts w:ascii="宋体" w:hAnsi="宋体" w:eastAsia="宋体" w:cs="宋体"/>
              </w:rPr>
              <w:t>2</w:t>
            </w:r>
          </w:p>
        </w:tc>
        <w:tc>
          <w:tcPr>
            <w:tcW w:w="973" w:type="pct"/>
            <w:vAlign w:val="center"/>
            <w:tcBorders>
              <w:top w:val="nil"/>
              <w:left w:val="nil"/>
              <w:bottom w:val="single" w:color="auto" w:sz="4" w:space="0"/>
              <w:right w:val="single" w:color="auto" w:sz="4" w:space="0"/>
            </w:tcBorders>
          </w:tcPr>
          <w:p w14:paraId="1E0724FA">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2FB5C7B1">
        <w:tblPrEx>
          <w:tblCellMar>
            <w:top w:type="dxa" w:w="0.000000"/>
            <w:bottom w:type="dxa" w:w="0.000000"/>
            <w:left w:type="dxa" w:w="108.000000"/>
            <w:right w:type="dxa" w:w="108.000000"/>
          </w:tblCellMar>
        </w:tblPrEx>
        <w:trPr>
          <w:trHeight w:val="396" w:hRule="atLeast"/>
        </w:trPr>
        <w:tc>
          <w:tcPr>
            <w:tcW w:w="331" w:type="pct"/>
            <w:vMerge w:val="restart"/>
            <w:vAlign w:val="center"/>
            <w:tcBorders>
              <w:top w:val="nil"/>
              <w:left w:val="single" w:color="auto" w:sz="4" w:space="0"/>
              <w:bottom w:val="single" w:color="000000" w:sz="4" w:space="0"/>
              <w:right w:val="single" w:color="auto" w:sz="4" w:space="0"/>
            </w:tcBorders>
          </w:tcPr>
          <w:p w14:paraId="23598FBF">
            <w:pPr>
              <w:widowControl w:val="1"/>
              <w:jc w:val="center"/>
              <w:rPr>
                <w:color w:val="auto"/>
                <w:sz w:val="22"/>
                <w:kern w:val="0"/>
                <w:rFonts w:ascii="宋体" w:hAnsi="宋体" w:eastAsia="宋体" w:cs="宋体"/>
              </w:rPr>
            </w:pPr>
            <w:r>
              <w:rPr>
                <w:color w:val="auto"/>
                <w:sz w:val="22"/>
                <w:kern w:val="0"/>
                <w:rFonts w:ascii="宋体" w:hAnsi="宋体" w:eastAsia="宋体" w:cs="宋体"/>
              </w:rPr>
              <w:t>(3)</w:t>
            </w:r>
          </w:p>
        </w:tc>
        <w:tc>
          <w:tcPr>
            <w:tcW w:w="1343" w:type="pct"/>
            <w:vMerge w:val="restart"/>
            <w:vAlign w:val="center"/>
            <w:tcBorders>
              <w:top w:val="nil"/>
              <w:left w:val="single" w:color="auto" w:sz="4" w:space="0"/>
              <w:bottom w:val="single" w:color="auto" w:sz="4" w:space="0"/>
              <w:right w:val="single" w:color="auto" w:sz="4" w:space="0"/>
            </w:tcBorders>
          </w:tcPr>
          <w:p w14:paraId="3DEC4D51">
            <w:pPr>
              <w:widowControl w:val="1"/>
              <w:jc w:val="center"/>
              <w:rPr>
                <w:color w:val="auto"/>
                <w:sz w:val="22"/>
                <w:kern w:val="0"/>
                <w:rFonts w:ascii="宋体" w:hAnsi="宋体" w:eastAsia="宋体" w:cs="宋体"/>
              </w:rPr>
            </w:pPr>
            <w:r>
              <w:rPr>
                <w:color w:val="auto"/>
                <w:sz w:val="22"/>
                <w:kern w:val="0"/>
                <w:rFonts w:ascii="宋体" w:hAnsi="宋体" w:eastAsia="宋体" w:cs="宋体"/>
              </w:rPr>
              <w:t>智能三相塑壳继电器  （4G版本）</w:t>
            </w:r>
          </w:p>
        </w:tc>
        <w:tc>
          <w:tcPr>
            <w:tcW w:w="1646" w:type="pct"/>
            <w:vAlign w:val="center"/>
            <w:tcBorders>
              <w:top w:val="nil"/>
              <w:left w:val="nil"/>
              <w:bottom w:val="single" w:color="auto" w:sz="4" w:space="0"/>
              <w:right w:val="single" w:color="auto" w:sz="4" w:space="0"/>
            </w:tcBorders>
          </w:tcPr>
          <w:p w14:paraId="2D5F0417">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tcPr>
          <w:p w14:paraId="312CB87A">
            <w:pPr>
              <w:widowControl w:val="1"/>
              <w:jc w:val="center"/>
              <w:rPr>
                <w:color w:val="auto"/>
                <w:sz w:val="22"/>
                <w:kern w:val="0"/>
                <w:rFonts w:ascii="宋体" w:hAnsi="宋体" w:eastAsia="宋体" w:cs="宋体"/>
              </w:rPr>
            </w:pPr>
            <w:r>
              <w:rPr>
                <w:color w:val="auto"/>
                <w:sz w:val="22"/>
                <w:kern w:val="0"/>
                <w:rFonts w:ascii="宋体" w:hAnsi="宋体" w:eastAsia="宋体" w:cs="宋体"/>
              </w:rPr>
              <w:t>个</w:t>
            </w:r>
          </w:p>
        </w:tc>
        <w:tc>
          <w:tcPr>
            <w:tcW w:w="395" w:type="pct"/>
            <w:vAlign w:val="center"/>
            <w:tcBorders>
              <w:top w:val="nil"/>
              <w:left w:val="nil"/>
              <w:bottom w:val="single" w:color="auto" w:sz="4" w:space="0"/>
              <w:right w:val="single" w:color="auto" w:sz="4" w:space="0"/>
            </w:tcBorders>
          </w:tcPr>
          <w:p w14:paraId="1BADFD29">
            <w:pPr>
              <w:widowControl w:val="1"/>
              <w:jc w:val="center"/>
              <w:rPr>
                <w:color w:val="auto"/>
                <w:sz w:val="22"/>
                <w:kern w:val="0"/>
                <w:rFonts w:ascii="宋体" w:hAnsi="宋体" w:eastAsia="宋体" w:cs="宋体"/>
              </w:rPr>
            </w:pPr>
            <w:r>
              <w:rPr>
                <w:color w:val="auto"/>
                <w:sz w:val="22"/>
                <w:kern w:val="0"/>
                <w:rFonts w:ascii="宋体" w:hAnsi="宋体" w:eastAsia="宋体" w:cs="宋体"/>
              </w:rPr>
              <w:t>17</w:t>
            </w:r>
          </w:p>
        </w:tc>
        <w:tc>
          <w:tcPr>
            <w:tcW w:w="973" w:type="pct"/>
            <w:vAlign w:val="center"/>
            <w:tcBorders>
              <w:top w:val="nil"/>
              <w:left w:val="nil"/>
              <w:bottom w:val="single" w:color="auto" w:sz="4" w:space="0"/>
              <w:right w:val="single" w:color="auto" w:sz="4" w:space="0"/>
            </w:tcBorders>
          </w:tcPr>
          <w:p w14:paraId="7CD5C364">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051C3FF7">
        <w:tblPrEx>
          <w:tblCellMar>
            <w:top w:type="dxa" w:w="0.000000"/>
            <w:bottom w:type="dxa" w:w="0.000000"/>
            <w:left w:type="dxa" w:w="108.000000"/>
            <w:right w:type="dxa" w:w="108.000000"/>
          </w:tblCellMar>
        </w:tblPrEx>
        <w:trPr>
          <w:trHeight w:val="396" w:hRule="atLeast"/>
        </w:trPr>
        <w:tc>
          <w:tcPr>
            <w:tcW w:w="331" w:type="pct"/>
            <w:vMerge w:val="continue"/>
            <w:vAlign w:val="center"/>
            <w:tcBorders>
              <w:top w:val="nil"/>
              <w:left w:val="single" w:color="auto" w:sz="4" w:space="0"/>
              <w:bottom w:val="single" w:color="000000" w:sz="4" w:space="0"/>
              <w:right w:val="single" w:color="auto" w:sz="4" w:space="0"/>
            </w:tcBorders>
          </w:tcPr>
          <w:p w14:paraId="6BBAAE96">
            <w:pPr>
              <w:widowControl w:val="1"/>
              <w:jc w:val="left"/>
              <w:rPr>
                <w:color w:val="auto"/>
                <w:sz w:val="22"/>
                <w:kern w:val="0"/>
                <w:rFonts w:ascii="宋体" w:hAnsi="宋体" w:eastAsia="宋体" w:cs="宋体"/>
              </w:rPr>
            </w:pPr>
          </w:p>
        </w:tc>
        <w:tc>
          <w:tcPr>
            <w:tcW w:w="1343" w:type="pct"/>
            <w:vMerge w:val="continue"/>
            <w:vAlign w:val="center"/>
            <w:tcBorders>
              <w:top w:val="nil"/>
              <w:left w:val="single" w:color="auto" w:sz="4" w:space="0"/>
              <w:bottom w:val="single" w:color="auto" w:sz="4" w:space="0"/>
              <w:right w:val="single" w:color="auto" w:sz="4" w:space="0"/>
            </w:tcBorders>
          </w:tcPr>
          <w:p w14:paraId="73C88FCC">
            <w:pPr>
              <w:widowControl w:val="1"/>
              <w:jc w:val="left"/>
              <w:rPr>
                <w:color w:val="auto"/>
                <w:sz w:val="22"/>
                <w:kern w:val="0"/>
                <w:rFonts w:ascii="宋体" w:hAnsi="宋体" w:eastAsia="宋体" w:cs="宋体"/>
              </w:rPr>
            </w:pPr>
          </w:p>
        </w:tc>
        <w:tc>
          <w:tcPr>
            <w:tcW w:w="1646" w:type="pct"/>
            <w:vAlign w:val="center"/>
            <w:tcBorders>
              <w:top w:val="nil"/>
              <w:left w:val="nil"/>
              <w:bottom w:val="single" w:color="auto" w:sz="4" w:space="0"/>
              <w:right w:val="single" w:color="auto" w:sz="4" w:space="0"/>
            </w:tcBorders>
          </w:tcPr>
          <w:p w14:paraId="7041871B">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tcPr>
          <w:p w14:paraId="1CE91CB5">
            <w:pPr>
              <w:widowControl w:val="1"/>
              <w:jc w:val="center"/>
              <w:rPr>
                <w:color w:val="auto"/>
                <w:sz w:val="22"/>
                <w:kern w:val="0"/>
                <w:rFonts w:ascii="宋体" w:hAnsi="宋体" w:eastAsia="宋体" w:cs="宋体"/>
              </w:rPr>
            </w:pPr>
            <w:r>
              <w:rPr>
                <w:color w:val="auto"/>
                <w:sz w:val="22"/>
                <w:kern w:val="0"/>
                <w:rFonts w:ascii="宋体" w:hAnsi="宋体" w:eastAsia="宋体" w:cs="宋体"/>
              </w:rPr>
              <w:t>个</w:t>
            </w:r>
          </w:p>
        </w:tc>
        <w:tc>
          <w:tcPr>
            <w:tcW w:w="395" w:type="pct"/>
            <w:vAlign w:val="center"/>
            <w:tcBorders>
              <w:top w:val="nil"/>
              <w:left w:val="nil"/>
              <w:bottom w:val="single" w:color="auto" w:sz="4" w:space="0"/>
              <w:right w:val="single" w:color="auto" w:sz="4" w:space="0"/>
            </w:tcBorders>
          </w:tcPr>
          <w:p w14:paraId="35FF1602">
            <w:pPr>
              <w:widowControl w:val="1"/>
              <w:jc w:val="center"/>
              <w:rPr>
                <w:color w:val="auto"/>
                <w:sz w:val="22"/>
                <w:kern w:val="0"/>
                <w:rFonts w:ascii="宋体" w:hAnsi="宋体" w:eastAsia="宋体" w:cs="宋体"/>
              </w:rPr>
            </w:pPr>
            <w:r>
              <w:rPr>
                <w:color w:val="auto"/>
                <w:sz w:val="22"/>
                <w:kern w:val="0"/>
                <w:rFonts w:ascii="宋体" w:hAnsi="宋体" w:eastAsia="宋体" w:cs="宋体"/>
              </w:rPr>
              <w:t>2</w:t>
            </w:r>
          </w:p>
        </w:tc>
        <w:tc>
          <w:tcPr>
            <w:tcW w:w="973" w:type="pct"/>
            <w:vAlign w:val="center"/>
            <w:tcBorders>
              <w:top w:val="nil"/>
              <w:left w:val="nil"/>
              <w:bottom w:val="single" w:color="auto" w:sz="4" w:space="0"/>
              <w:right w:val="single" w:color="auto" w:sz="4" w:space="0"/>
            </w:tcBorders>
          </w:tcPr>
          <w:p w14:paraId="15FC24CB">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0EF7CD03">
        <w:tblPrEx>
          <w:tblCellMar>
            <w:top w:type="dxa" w:w="0.000000"/>
            <w:bottom w:type="dxa" w:w="0.000000"/>
            <w:left w:type="dxa" w:w="108.000000"/>
            <w:right w:type="dxa" w:w="108.000000"/>
          </w:tblCellMar>
        </w:tblPrEx>
        <w:trPr>
          <w:trHeight w:val="396" w:hRule="atLeast"/>
        </w:trPr>
        <w:tc>
          <w:tcPr>
            <w:tcW w:w="331" w:type="pct"/>
            <w:vMerge w:val="continue"/>
            <w:vAlign w:val="center"/>
            <w:tcBorders>
              <w:top w:val="nil"/>
              <w:left w:val="single" w:color="auto" w:sz="4" w:space="0"/>
              <w:bottom w:val="single" w:color="000000" w:sz="4" w:space="0"/>
              <w:right w:val="single" w:color="auto" w:sz="4" w:space="0"/>
            </w:tcBorders>
          </w:tcPr>
          <w:p w14:paraId="27CE8D65">
            <w:pPr>
              <w:widowControl w:val="1"/>
              <w:jc w:val="left"/>
              <w:rPr>
                <w:color w:val="auto"/>
                <w:sz w:val="22"/>
                <w:kern w:val="0"/>
                <w:rFonts w:ascii="宋体" w:hAnsi="宋体" w:eastAsia="宋体" w:cs="宋体"/>
              </w:rPr>
            </w:pPr>
          </w:p>
        </w:tc>
        <w:tc>
          <w:tcPr>
            <w:tcW w:w="1343" w:type="pct"/>
            <w:vMerge w:val="continue"/>
            <w:vAlign w:val="center"/>
            <w:tcBorders>
              <w:top w:val="nil"/>
              <w:left w:val="single" w:color="auto" w:sz="4" w:space="0"/>
              <w:bottom w:val="single" w:color="auto" w:sz="4" w:space="0"/>
              <w:right w:val="single" w:color="auto" w:sz="4" w:space="0"/>
            </w:tcBorders>
          </w:tcPr>
          <w:p w14:paraId="3A132B0B">
            <w:pPr>
              <w:widowControl w:val="1"/>
              <w:jc w:val="left"/>
              <w:rPr>
                <w:color w:val="auto"/>
                <w:sz w:val="22"/>
                <w:kern w:val="0"/>
                <w:rFonts w:ascii="宋体" w:hAnsi="宋体" w:eastAsia="宋体" w:cs="宋体"/>
              </w:rPr>
            </w:pPr>
          </w:p>
        </w:tc>
        <w:tc>
          <w:tcPr>
            <w:tcW w:w="1646" w:type="pct"/>
            <w:vAlign w:val="center"/>
            <w:tcBorders>
              <w:top w:val="nil"/>
              <w:left w:val="nil"/>
              <w:bottom w:val="single" w:color="auto" w:sz="4" w:space="0"/>
              <w:right w:val="single" w:color="auto" w:sz="4" w:space="0"/>
            </w:tcBorders>
          </w:tcPr>
          <w:p w14:paraId="0C670630">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tcPr>
          <w:p w14:paraId="676513F6">
            <w:pPr>
              <w:widowControl w:val="1"/>
              <w:jc w:val="center"/>
              <w:rPr>
                <w:color w:val="auto"/>
                <w:sz w:val="22"/>
                <w:kern w:val="0"/>
                <w:rFonts w:ascii="宋体" w:hAnsi="宋体" w:eastAsia="宋体" w:cs="宋体"/>
              </w:rPr>
            </w:pPr>
            <w:r>
              <w:rPr>
                <w:color w:val="auto"/>
                <w:sz w:val="22"/>
                <w:kern w:val="0"/>
                <w:rFonts w:ascii="宋体" w:hAnsi="宋体" w:eastAsia="宋体" w:cs="宋体"/>
              </w:rPr>
              <w:t>个</w:t>
            </w:r>
          </w:p>
        </w:tc>
        <w:tc>
          <w:tcPr>
            <w:tcW w:w="395" w:type="pct"/>
            <w:vAlign w:val="center"/>
            <w:tcBorders>
              <w:top w:val="nil"/>
              <w:left w:val="nil"/>
              <w:bottom w:val="single" w:color="auto" w:sz="4" w:space="0"/>
              <w:right w:val="single" w:color="auto" w:sz="4" w:space="0"/>
            </w:tcBorders>
          </w:tcPr>
          <w:p w14:paraId="2BBBAADF">
            <w:pPr>
              <w:widowControl w:val="1"/>
              <w:jc w:val="center"/>
              <w:rPr>
                <w:color w:val="auto"/>
                <w:sz w:val="22"/>
                <w:kern w:val="0"/>
                <w:rFonts w:ascii="宋体" w:hAnsi="宋体" w:eastAsia="宋体" w:cs="宋体"/>
              </w:rPr>
            </w:pPr>
            <w:r>
              <w:rPr>
                <w:color w:val="auto"/>
                <w:sz w:val="22"/>
                <w:kern w:val="0"/>
                <w:rFonts w:ascii="宋体" w:hAnsi="宋体" w:eastAsia="宋体" w:cs="宋体"/>
              </w:rPr>
              <w:t>3</w:t>
            </w:r>
          </w:p>
        </w:tc>
        <w:tc>
          <w:tcPr>
            <w:tcW w:w="973" w:type="pct"/>
            <w:vAlign w:val="center"/>
            <w:tcBorders>
              <w:top w:val="nil"/>
              <w:left w:val="nil"/>
              <w:bottom w:val="single" w:color="auto" w:sz="4" w:space="0"/>
              <w:right w:val="single" w:color="auto" w:sz="4" w:space="0"/>
            </w:tcBorders>
          </w:tcPr>
          <w:p w14:paraId="5996F312">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5BCB08E6">
        <w:tblPrEx>
          <w:tblCellMar>
            <w:top w:type="dxa" w:w="0.000000"/>
            <w:bottom w:type="dxa" w:w="0.000000"/>
            <w:left w:type="dxa" w:w="108.000000"/>
            <w:right w:type="dxa" w:w="108.000000"/>
          </w:tblCellMar>
        </w:tblPrEx>
        <w:trPr>
          <w:trHeight w:val="432" w:hRule="atLeast"/>
        </w:trPr>
        <w:tc>
          <w:tcPr>
            <w:tcW w:w="331" w:type="pct"/>
            <w:vAlign w:val="center"/>
            <w:tcBorders>
              <w:top w:val="nil"/>
              <w:left w:val="single" w:color="auto" w:sz="4" w:space="0"/>
              <w:bottom w:val="single" w:color="auto" w:sz="4" w:space="0"/>
              <w:right w:val="single" w:color="auto" w:sz="4" w:space="0"/>
            </w:tcBorders>
          </w:tcPr>
          <w:p w14:paraId="5380ACE7">
            <w:pPr>
              <w:widowControl w:val="1"/>
              <w:jc w:val="center"/>
              <w:rPr>
                <w:color w:val="auto"/>
                <w:sz w:val="22"/>
                <w:kern w:val="0"/>
                <w:rFonts w:ascii="宋体" w:hAnsi="宋体" w:eastAsia="宋体" w:cs="宋体"/>
              </w:rPr>
            </w:pPr>
            <w:r>
              <w:rPr>
                <w:color w:val="auto"/>
                <w:sz w:val="22"/>
                <w:kern w:val="0"/>
                <w:rFonts w:ascii="宋体" w:hAnsi="宋体" w:eastAsia="宋体" w:cs="宋体"/>
              </w:rPr>
              <w:t>(4)</w:t>
            </w:r>
          </w:p>
        </w:tc>
        <w:tc>
          <w:tcPr>
            <w:tcW w:w="1343" w:type="pct"/>
            <w:vAlign w:val="center"/>
            <w:tcBorders>
              <w:top w:val="nil"/>
              <w:left w:val="nil"/>
              <w:bottom w:val="single" w:color="auto" w:sz="4" w:space="0"/>
              <w:right w:val="single" w:color="auto" w:sz="4" w:space="0"/>
            </w:tcBorders>
          </w:tcPr>
          <w:p w14:paraId="0A75F855">
            <w:pPr>
              <w:widowControl w:val="1"/>
              <w:jc w:val="center"/>
              <w:rPr>
                <w:color w:val="auto"/>
                <w:sz w:val="22"/>
                <w:kern w:val="0"/>
                <w:rFonts w:ascii="宋体" w:hAnsi="宋体" w:eastAsia="宋体" w:cs="宋体"/>
              </w:rPr>
            </w:pPr>
            <w:r>
              <w:rPr>
                <w:color w:val="auto"/>
                <w:sz w:val="22"/>
                <w:kern w:val="0"/>
                <w:rFonts w:ascii="宋体" w:hAnsi="宋体" w:eastAsia="宋体" w:cs="宋体"/>
              </w:rPr>
              <w:t>数据通讯</w:t>
            </w:r>
          </w:p>
        </w:tc>
        <w:tc>
          <w:tcPr>
            <w:tcW w:w="1646" w:type="pct"/>
            <w:vAlign w:val="center"/>
            <w:tcBorders>
              <w:top w:val="nil"/>
              <w:left w:val="nil"/>
              <w:bottom w:val="single" w:color="auto" w:sz="4" w:space="0"/>
              <w:right w:val="single" w:color="auto" w:sz="4" w:space="0"/>
            </w:tcBorders>
          </w:tcPr>
          <w:p w14:paraId="6AC48342">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tcPr>
          <w:p w14:paraId="0FEC6587">
            <w:pPr>
              <w:widowControl w:val="1"/>
              <w:jc w:val="center"/>
              <w:rPr>
                <w:color w:val="auto"/>
                <w:sz w:val="22"/>
                <w:kern w:val="0"/>
                <w:rFonts w:ascii="宋体" w:hAnsi="宋体" w:eastAsia="宋体" w:cs="宋体"/>
              </w:rPr>
            </w:pPr>
            <w:r>
              <w:rPr>
                <w:color w:val="auto"/>
                <w:sz w:val="22"/>
                <w:kern w:val="0"/>
                <w:rFonts w:ascii="宋体" w:hAnsi="宋体" w:eastAsia="宋体" w:cs="宋体"/>
              </w:rPr>
              <w:t>套</w:t>
            </w:r>
          </w:p>
        </w:tc>
        <w:tc>
          <w:tcPr>
            <w:tcW w:w="395" w:type="pct"/>
            <w:vAlign w:val="center"/>
            <w:tcBorders>
              <w:top w:val="nil"/>
              <w:left w:val="nil"/>
              <w:bottom w:val="single" w:color="auto" w:sz="4" w:space="0"/>
              <w:right w:val="single" w:color="auto" w:sz="4" w:space="0"/>
            </w:tcBorders>
          </w:tcPr>
          <w:p w14:paraId="7AFFAAC1">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973" w:type="pct"/>
            <w:vAlign w:val="center"/>
            <w:tcBorders>
              <w:top w:val="nil"/>
              <w:left w:val="nil"/>
              <w:bottom w:val="single" w:color="auto" w:sz="4" w:space="0"/>
              <w:right w:val="single" w:color="auto" w:sz="4" w:space="0"/>
            </w:tcBorders>
          </w:tcPr>
          <w:p w14:paraId="3D46AF97">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5AA74367">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17213F9E">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1.3</w:t>
            </w:r>
          </w:p>
        </w:tc>
        <w:tc>
          <w:tcPr>
            <w:tcW w:w="3696" w:type="pct"/>
            <w:gridSpan w:val="4"/>
            <w:vAlign w:val="center"/>
            <w:tcBorders>
              <w:top w:val="single" w:color="auto" w:sz="4" w:space="0"/>
              <w:left w:val="nil"/>
              <w:bottom w:val="single" w:color="auto" w:sz="4" w:space="0"/>
              <w:right w:val="single" w:color="auto" w:sz="4" w:space="0"/>
            </w:tcBorders>
          </w:tcPr>
          <w:p w14:paraId="71923EA0">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3号楼1-15楼</w:t>
            </w:r>
          </w:p>
        </w:tc>
        <w:tc>
          <w:tcPr>
            <w:tcW w:w="973" w:type="pct"/>
            <w:vAlign w:val="bottom"/>
            <w:tcBorders>
              <w:top w:val="nil"/>
              <w:left w:val="nil"/>
              <w:bottom w:val="single" w:color="auto" w:sz="4" w:space="0"/>
              <w:right w:val="single" w:color="auto" w:sz="4" w:space="0"/>
            </w:tcBorders>
          </w:tcPr>
          <w:p w14:paraId="1279831A">
            <w:pPr>
              <w:widowControl w:val="1"/>
              <w:jc w:val="left"/>
              <w:rPr>
                <w:color w:val="auto"/>
                <w:sz w:val="22"/>
                <w:kern w:val="0"/>
                <w:rFonts w:ascii="等线" w:hAnsi="等线" w:eastAsia="等线" w:cs="宋体"/>
              </w:rPr>
            </w:pPr>
            <w:r>
              <w:rPr>
                <w:color w:val="auto"/>
                <w:sz w:val="22"/>
                <w:kern w:val="0"/>
                <w:rFonts w:ascii="等线" w:hAnsi="等线" w:eastAsia="等线" w:cs="宋体"/>
              </w:rPr>
              <w:t>　</w:t>
            </w:r>
          </w:p>
        </w:tc>
      </w:tr>
      <w:tr w14:paraId="5F5C8FC5">
        <w:tblPrEx>
          <w:tblCellMar>
            <w:top w:type="dxa" w:w="0.000000"/>
            <w:bottom w:type="dxa" w:w="0.000000"/>
            <w:left w:type="dxa" w:w="108.000000"/>
            <w:right w:type="dxa" w:w="108.000000"/>
          </w:tblCellMar>
        </w:tblPrEx>
        <w:trPr>
          <w:trHeight w:val="396" w:hRule="atLeast"/>
        </w:trPr>
        <w:tc>
          <w:tcPr>
            <w:tcW w:w="331" w:type="pct"/>
            <w:vMerge w:val="restart"/>
            <w:vAlign w:val="center"/>
            <w:tcBorders>
              <w:top w:val="nil"/>
              <w:left w:val="single" w:color="auto" w:sz="4" w:space="0"/>
              <w:bottom w:val="single" w:color="000000" w:sz="4" w:space="0"/>
              <w:right w:val="single" w:color="auto" w:sz="4" w:space="0"/>
            </w:tcBorders>
          </w:tcPr>
          <w:p w14:paraId="5DD1A0C8">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1343" w:type="pct"/>
            <w:vMerge w:val="restart"/>
            <w:vAlign w:val="center"/>
            <w:tcBorders>
              <w:top w:val="nil"/>
              <w:left w:val="single" w:color="auto" w:sz="4" w:space="0"/>
              <w:bottom w:val="single" w:color="auto" w:sz="4" w:space="0"/>
              <w:right w:val="single" w:color="auto" w:sz="4" w:space="0"/>
            </w:tcBorders>
          </w:tcPr>
          <w:p w14:paraId="4E11F4BE">
            <w:pPr>
              <w:widowControl w:val="1"/>
              <w:jc w:val="center"/>
              <w:rPr>
                <w:color w:val="auto"/>
                <w:sz w:val="22"/>
                <w:kern w:val="0"/>
                <w:rFonts w:ascii="宋体" w:hAnsi="宋体" w:eastAsia="宋体" w:cs="宋体"/>
              </w:rPr>
            </w:pPr>
            <w:r>
              <w:rPr>
                <w:color w:val="auto"/>
                <w:sz w:val="22"/>
                <w:kern w:val="0"/>
                <w:rFonts w:ascii="宋体" w:hAnsi="宋体" w:eastAsia="宋体" w:cs="宋体"/>
              </w:rPr>
              <w:t>智能三相塑壳继电器  （4G版本）</w:t>
            </w:r>
          </w:p>
        </w:tc>
        <w:tc>
          <w:tcPr>
            <w:tcW w:w="1646" w:type="pct"/>
            <w:vAlign w:val="center"/>
            <w:tcBorders>
              <w:top w:val="nil"/>
              <w:left w:val="nil"/>
              <w:bottom w:val="single" w:color="auto" w:sz="4" w:space="0"/>
              <w:right w:val="single" w:color="auto" w:sz="4" w:space="0"/>
            </w:tcBorders>
          </w:tcPr>
          <w:p w14:paraId="21E6FFEE">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tcPr>
          <w:p w14:paraId="35F51E4F">
            <w:pPr>
              <w:widowControl w:val="1"/>
              <w:jc w:val="center"/>
              <w:rPr>
                <w:color w:val="auto"/>
                <w:sz w:val="22"/>
                <w:kern w:val="0"/>
                <w:rFonts w:ascii="宋体" w:hAnsi="宋体" w:eastAsia="宋体" w:cs="宋体"/>
              </w:rPr>
            </w:pPr>
            <w:r>
              <w:rPr>
                <w:color w:val="auto"/>
                <w:sz w:val="22"/>
                <w:kern w:val="0"/>
                <w:rFonts w:ascii="宋体" w:hAnsi="宋体" w:eastAsia="宋体" w:cs="宋体"/>
              </w:rPr>
              <w:t>个</w:t>
            </w:r>
          </w:p>
        </w:tc>
        <w:tc>
          <w:tcPr>
            <w:tcW w:w="395" w:type="pct"/>
            <w:vAlign w:val="center"/>
            <w:tcBorders>
              <w:top w:val="nil"/>
              <w:left w:val="nil"/>
              <w:bottom w:val="single" w:color="auto" w:sz="4" w:space="0"/>
              <w:right w:val="single" w:color="auto" w:sz="4" w:space="0"/>
            </w:tcBorders>
          </w:tcPr>
          <w:p w14:paraId="1798962B">
            <w:pPr>
              <w:widowControl w:val="1"/>
              <w:jc w:val="center"/>
              <w:rPr>
                <w:color w:val="auto"/>
                <w:sz w:val="22"/>
                <w:kern w:val="0"/>
                <w:rFonts w:ascii="宋体" w:hAnsi="宋体" w:eastAsia="宋体" w:cs="宋体"/>
              </w:rPr>
            </w:pPr>
            <w:r>
              <w:rPr>
                <w:color w:val="auto"/>
                <w:sz w:val="22"/>
                <w:kern w:val="0"/>
                <w:rFonts w:ascii="宋体" w:hAnsi="宋体" w:eastAsia="宋体" w:cs="宋体"/>
              </w:rPr>
              <w:t>19</w:t>
            </w:r>
          </w:p>
        </w:tc>
        <w:tc>
          <w:tcPr>
            <w:tcW w:w="973" w:type="pct"/>
            <w:vAlign w:val="center"/>
            <w:tcBorders>
              <w:top w:val="nil"/>
              <w:left w:val="nil"/>
              <w:bottom w:val="single" w:color="auto" w:sz="4" w:space="0"/>
              <w:right w:val="single" w:color="auto" w:sz="4" w:space="0"/>
            </w:tcBorders>
          </w:tcPr>
          <w:p w14:paraId="53C59E73">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4066766B">
        <w:tblPrEx>
          <w:tblCellMar>
            <w:top w:type="dxa" w:w="0.000000"/>
            <w:bottom w:type="dxa" w:w="0.000000"/>
            <w:left w:type="dxa" w:w="108.000000"/>
            <w:right w:type="dxa" w:w="108.000000"/>
          </w:tblCellMar>
        </w:tblPrEx>
        <w:trPr>
          <w:trHeight w:val="396" w:hRule="atLeast"/>
        </w:trPr>
        <w:tc>
          <w:tcPr>
            <w:tcW w:w="331" w:type="pct"/>
            <w:vMerge w:val="continue"/>
            <w:vAlign w:val="center"/>
            <w:tcBorders>
              <w:top w:val="nil"/>
              <w:left w:val="single" w:color="auto" w:sz="4" w:space="0"/>
              <w:bottom w:val="single" w:color="000000" w:sz="4" w:space="0"/>
              <w:right w:val="single" w:color="auto" w:sz="4" w:space="0"/>
            </w:tcBorders>
          </w:tcPr>
          <w:p w14:paraId="7D046B47">
            <w:pPr>
              <w:widowControl w:val="1"/>
              <w:jc w:val="left"/>
              <w:rPr>
                <w:color w:val="auto"/>
                <w:sz w:val="22"/>
                <w:kern w:val="0"/>
                <w:rFonts w:ascii="宋体" w:hAnsi="宋体" w:eastAsia="宋体" w:cs="宋体"/>
              </w:rPr>
            </w:pPr>
          </w:p>
        </w:tc>
        <w:tc>
          <w:tcPr>
            <w:tcW w:w="1343" w:type="pct"/>
            <w:vMerge w:val="continue"/>
            <w:vAlign w:val="center"/>
            <w:tcBorders>
              <w:top w:val="nil"/>
              <w:left w:val="single" w:color="auto" w:sz="4" w:space="0"/>
              <w:bottom w:val="single" w:color="auto" w:sz="4" w:space="0"/>
              <w:right w:val="single" w:color="auto" w:sz="4" w:space="0"/>
            </w:tcBorders>
          </w:tcPr>
          <w:p w14:paraId="2D948685">
            <w:pPr>
              <w:widowControl w:val="1"/>
              <w:jc w:val="left"/>
              <w:rPr>
                <w:color w:val="auto"/>
                <w:sz w:val="22"/>
                <w:kern w:val="0"/>
                <w:rFonts w:ascii="宋体" w:hAnsi="宋体" w:eastAsia="宋体" w:cs="宋体"/>
              </w:rPr>
            </w:pPr>
          </w:p>
        </w:tc>
        <w:tc>
          <w:tcPr>
            <w:tcW w:w="1646" w:type="pct"/>
            <w:vAlign w:val="center"/>
            <w:tcBorders>
              <w:top w:val="nil"/>
              <w:left w:val="nil"/>
              <w:bottom w:val="single" w:color="auto" w:sz="4" w:space="0"/>
              <w:right w:val="single" w:color="auto" w:sz="4" w:space="0"/>
            </w:tcBorders>
          </w:tcPr>
          <w:p w14:paraId="35F95C62">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tcPr>
          <w:p w14:paraId="3A59DAB1">
            <w:pPr>
              <w:widowControl w:val="1"/>
              <w:jc w:val="center"/>
              <w:rPr>
                <w:color w:val="auto"/>
                <w:sz w:val="22"/>
                <w:kern w:val="0"/>
                <w:rFonts w:ascii="宋体" w:hAnsi="宋体" w:eastAsia="宋体" w:cs="宋体"/>
              </w:rPr>
            </w:pPr>
            <w:r>
              <w:rPr>
                <w:color w:val="auto"/>
                <w:sz w:val="22"/>
                <w:kern w:val="0"/>
                <w:rFonts w:ascii="宋体" w:hAnsi="宋体" w:eastAsia="宋体" w:cs="宋体"/>
              </w:rPr>
              <w:t>个</w:t>
            </w:r>
          </w:p>
        </w:tc>
        <w:tc>
          <w:tcPr>
            <w:tcW w:w="395" w:type="pct"/>
            <w:vAlign w:val="center"/>
            <w:tcBorders>
              <w:top w:val="nil"/>
              <w:left w:val="nil"/>
              <w:bottom w:val="single" w:color="auto" w:sz="4" w:space="0"/>
              <w:right w:val="single" w:color="auto" w:sz="4" w:space="0"/>
            </w:tcBorders>
          </w:tcPr>
          <w:p w14:paraId="24278FE5">
            <w:pPr>
              <w:widowControl w:val="1"/>
              <w:jc w:val="center"/>
              <w:rPr>
                <w:color w:val="auto"/>
                <w:sz w:val="22"/>
                <w:kern w:val="0"/>
                <w:rFonts w:ascii="宋体" w:hAnsi="宋体" w:eastAsia="宋体" w:cs="宋体"/>
              </w:rPr>
            </w:pPr>
            <w:r>
              <w:rPr>
                <w:color w:val="auto"/>
                <w:sz w:val="22"/>
                <w:kern w:val="0"/>
                <w:rFonts w:ascii="宋体" w:hAnsi="宋体" w:eastAsia="宋体" w:cs="宋体"/>
              </w:rPr>
              <w:t>4</w:t>
            </w:r>
          </w:p>
        </w:tc>
        <w:tc>
          <w:tcPr>
            <w:tcW w:w="973" w:type="pct"/>
            <w:vAlign w:val="center"/>
            <w:tcBorders>
              <w:top w:val="nil"/>
              <w:left w:val="nil"/>
              <w:bottom w:val="single" w:color="auto" w:sz="4" w:space="0"/>
              <w:right w:val="single" w:color="auto" w:sz="4" w:space="0"/>
            </w:tcBorders>
          </w:tcPr>
          <w:p w14:paraId="1CC804A2">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6D0F6217">
        <w:tblPrEx>
          <w:tblCellMar>
            <w:top w:type="dxa" w:w="0.000000"/>
            <w:bottom w:type="dxa" w:w="0.000000"/>
            <w:left w:type="dxa" w:w="108.000000"/>
            <w:right w:type="dxa" w:w="108.000000"/>
          </w:tblCellMar>
        </w:tblPrEx>
        <w:trPr>
          <w:trHeight w:val="396" w:hRule="atLeast"/>
        </w:trPr>
        <w:tc>
          <w:tcPr>
            <w:tcW w:w="331" w:type="pct"/>
            <w:vMerge w:val="continue"/>
            <w:vAlign w:val="center"/>
            <w:tcBorders>
              <w:top w:val="nil"/>
              <w:left w:val="single" w:color="auto" w:sz="4" w:space="0"/>
              <w:bottom w:val="single" w:color="000000" w:sz="4" w:space="0"/>
              <w:right w:val="single" w:color="auto" w:sz="4" w:space="0"/>
            </w:tcBorders>
          </w:tcPr>
          <w:p w14:paraId="35D9D039">
            <w:pPr>
              <w:widowControl w:val="1"/>
              <w:jc w:val="left"/>
              <w:rPr>
                <w:color w:val="auto"/>
                <w:sz w:val="22"/>
                <w:kern w:val="0"/>
                <w:rFonts w:ascii="宋体" w:hAnsi="宋体" w:eastAsia="宋体" w:cs="宋体"/>
              </w:rPr>
            </w:pPr>
          </w:p>
        </w:tc>
        <w:tc>
          <w:tcPr>
            <w:tcW w:w="1343" w:type="pct"/>
            <w:vMerge w:val="continue"/>
            <w:vAlign w:val="center"/>
            <w:tcBorders>
              <w:top w:val="nil"/>
              <w:left w:val="single" w:color="auto" w:sz="4" w:space="0"/>
              <w:bottom w:val="single" w:color="auto" w:sz="4" w:space="0"/>
              <w:right w:val="single" w:color="auto" w:sz="4" w:space="0"/>
            </w:tcBorders>
          </w:tcPr>
          <w:p w14:paraId="0015DD06">
            <w:pPr>
              <w:widowControl w:val="1"/>
              <w:jc w:val="left"/>
              <w:rPr>
                <w:color w:val="auto"/>
                <w:sz w:val="22"/>
                <w:kern w:val="0"/>
                <w:rFonts w:ascii="宋体" w:hAnsi="宋体" w:eastAsia="宋体" w:cs="宋体"/>
              </w:rPr>
            </w:pPr>
          </w:p>
        </w:tc>
        <w:tc>
          <w:tcPr>
            <w:tcW w:w="1646" w:type="pct"/>
            <w:vAlign w:val="center"/>
            <w:tcBorders>
              <w:top w:val="nil"/>
              <w:left w:val="nil"/>
              <w:bottom w:val="single" w:color="auto" w:sz="4" w:space="0"/>
              <w:right w:val="single" w:color="auto" w:sz="4" w:space="0"/>
            </w:tcBorders>
          </w:tcPr>
          <w:p w14:paraId="61CCD923">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tcPr>
          <w:p w14:paraId="0AB30922">
            <w:pPr>
              <w:widowControl w:val="1"/>
              <w:jc w:val="center"/>
              <w:rPr>
                <w:color w:val="auto"/>
                <w:sz w:val="22"/>
                <w:kern w:val="0"/>
                <w:rFonts w:ascii="宋体" w:hAnsi="宋体" w:eastAsia="宋体" w:cs="宋体"/>
              </w:rPr>
            </w:pPr>
            <w:r>
              <w:rPr>
                <w:color w:val="auto"/>
                <w:sz w:val="22"/>
                <w:kern w:val="0"/>
                <w:rFonts w:ascii="宋体" w:hAnsi="宋体" w:eastAsia="宋体" w:cs="宋体"/>
              </w:rPr>
              <w:t>个</w:t>
            </w:r>
          </w:p>
        </w:tc>
        <w:tc>
          <w:tcPr>
            <w:tcW w:w="395" w:type="pct"/>
            <w:vAlign w:val="center"/>
            <w:tcBorders>
              <w:top w:val="nil"/>
              <w:left w:val="nil"/>
              <w:bottom w:val="single" w:color="auto" w:sz="4" w:space="0"/>
              <w:right w:val="single" w:color="auto" w:sz="4" w:space="0"/>
            </w:tcBorders>
          </w:tcPr>
          <w:p w14:paraId="1172104E">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973" w:type="pct"/>
            <w:vAlign w:val="center"/>
            <w:tcBorders>
              <w:top w:val="nil"/>
              <w:left w:val="nil"/>
              <w:bottom w:val="single" w:color="auto" w:sz="4" w:space="0"/>
              <w:right w:val="single" w:color="auto" w:sz="4" w:space="0"/>
            </w:tcBorders>
          </w:tcPr>
          <w:p w14:paraId="5FE84797">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3E1E9639">
        <w:tblPrEx>
          <w:tblCellMar>
            <w:top w:type="dxa" w:w="0.000000"/>
            <w:bottom w:type="dxa" w:w="0.000000"/>
            <w:left w:type="dxa" w:w="108.000000"/>
            <w:right w:type="dxa" w:w="108.000000"/>
          </w:tblCellMar>
        </w:tblPrEx>
        <w:trPr>
          <w:trHeight w:val="432" w:hRule="atLeast"/>
        </w:trPr>
        <w:tc>
          <w:tcPr>
            <w:tcW w:w="331" w:type="pct"/>
            <w:vAlign w:val="center"/>
            <w:tcBorders>
              <w:top w:val="nil"/>
              <w:left w:val="single" w:color="auto" w:sz="4" w:space="0"/>
              <w:bottom w:val="single" w:color="auto" w:sz="4" w:space="0"/>
              <w:right w:val="single" w:color="auto" w:sz="4" w:space="0"/>
            </w:tcBorders>
          </w:tcPr>
          <w:p w14:paraId="0232FE53">
            <w:pPr>
              <w:widowControl w:val="1"/>
              <w:jc w:val="center"/>
              <w:rPr>
                <w:color w:val="auto"/>
                <w:sz w:val="22"/>
                <w:kern w:val="0"/>
                <w:rFonts w:ascii="宋体" w:hAnsi="宋体" w:eastAsia="宋体" w:cs="宋体"/>
              </w:rPr>
            </w:pPr>
            <w:r>
              <w:rPr>
                <w:color w:val="auto"/>
                <w:sz w:val="22"/>
                <w:kern w:val="0"/>
                <w:rFonts w:ascii="宋体" w:hAnsi="宋体" w:eastAsia="宋体" w:cs="宋体"/>
              </w:rPr>
              <w:t>(2)</w:t>
            </w:r>
          </w:p>
        </w:tc>
        <w:tc>
          <w:tcPr>
            <w:tcW w:w="1343" w:type="pct"/>
            <w:vAlign w:val="center"/>
            <w:tcBorders>
              <w:top w:val="nil"/>
              <w:left w:val="nil"/>
              <w:bottom w:val="single" w:color="auto" w:sz="4" w:space="0"/>
              <w:right w:val="single" w:color="auto" w:sz="4" w:space="0"/>
            </w:tcBorders>
          </w:tcPr>
          <w:p w14:paraId="79537444">
            <w:pPr>
              <w:widowControl w:val="1"/>
              <w:jc w:val="center"/>
              <w:rPr>
                <w:color w:val="auto"/>
                <w:sz w:val="22"/>
                <w:kern w:val="0"/>
                <w:rFonts w:ascii="宋体" w:hAnsi="宋体" w:eastAsia="宋体" w:cs="宋体"/>
              </w:rPr>
            </w:pPr>
            <w:r>
              <w:rPr>
                <w:color w:val="auto"/>
                <w:sz w:val="22"/>
                <w:kern w:val="0"/>
                <w:rFonts w:ascii="宋体" w:hAnsi="宋体" w:eastAsia="宋体" w:cs="宋体"/>
              </w:rPr>
              <w:t>数据通讯</w:t>
            </w:r>
          </w:p>
        </w:tc>
        <w:tc>
          <w:tcPr>
            <w:tcW w:w="1646" w:type="pct"/>
            <w:vAlign w:val="center"/>
            <w:tcBorders>
              <w:top w:val="nil"/>
              <w:left w:val="nil"/>
              <w:bottom w:val="single" w:color="auto" w:sz="4" w:space="0"/>
              <w:right w:val="single" w:color="auto" w:sz="4" w:space="0"/>
            </w:tcBorders>
          </w:tcPr>
          <w:p w14:paraId="11A044CD">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tcPr>
          <w:p w14:paraId="4C7C2CD6">
            <w:pPr>
              <w:widowControl w:val="1"/>
              <w:jc w:val="center"/>
              <w:rPr>
                <w:color w:val="auto"/>
                <w:sz w:val="22"/>
                <w:kern w:val="0"/>
                <w:rFonts w:ascii="宋体" w:hAnsi="宋体" w:eastAsia="宋体" w:cs="宋体"/>
              </w:rPr>
            </w:pPr>
            <w:r>
              <w:rPr>
                <w:color w:val="auto"/>
                <w:sz w:val="22"/>
                <w:kern w:val="0"/>
                <w:rFonts w:ascii="宋体" w:hAnsi="宋体" w:eastAsia="宋体" w:cs="宋体"/>
              </w:rPr>
              <w:t>套</w:t>
            </w:r>
          </w:p>
        </w:tc>
        <w:tc>
          <w:tcPr>
            <w:tcW w:w="395" w:type="pct"/>
            <w:vAlign w:val="center"/>
            <w:tcBorders>
              <w:top w:val="nil"/>
              <w:left w:val="nil"/>
              <w:bottom w:val="single" w:color="auto" w:sz="4" w:space="0"/>
              <w:right w:val="single" w:color="auto" w:sz="4" w:space="0"/>
            </w:tcBorders>
          </w:tcPr>
          <w:p w14:paraId="52D0E8B4">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973" w:type="pct"/>
            <w:vAlign w:val="center"/>
            <w:tcBorders>
              <w:top w:val="nil"/>
              <w:left w:val="nil"/>
              <w:bottom w:val="single" w:color="auto" w:sz="4" w:space="0"/>
              <w:right w:val="single" w:color="auto" w:sz="4" w:space="0"/>
            </w:tcBorders>
          </w:tcPr>
          <w:p w14:paraId="337C2EDD">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4102F81D">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3675DC8D">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1.4</w:t>
            </w:r>
          </w:p>
        </w:tc>
        <w:tc>
          <w:tcPr>
            <w:tcW w:w="3696" w:type="pct"/>
            <w:gridSpan w:val="4"/>
            <w:vAlign w:val="center"/>
            <w:tcBorders>
              <w:top w:val="single" w:color="auto" w:sz="4" w:space="0"/>
              <w:left w:val="nil"/>
              <w:bottom w:val="single" w:color="auto" w:sz="4" w:space="0"/>
              <w:right w:val="single" w:color="auto" w:sz="4" w:space="0"/>
            </w:tcBorders>
          </w:tcPr>
          <w:p w14:paraId="629AF0E0">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宿舍楼2-顶楼</w:t>
            </w:r>
          </w:p>
        </w:tc>
        <w:tc>
          <w:tcPr>
            <w:tcW w:w="973" w:type="pct"/>
            <w:vAlign w:val="bottom"/>
            <w:tcBorders>
              <w:top w:val="nil"/>
              <w:left w:val="nil"/>
              <w:bottom w:val="single" w:color="auto" w:sz="4" w:space="0"/>
              <w:right w:val="single" w:color="auto" w:sz="4" w:space="0"/>
            </w:tcBorders>
          </w:tcPr>
          <w:p w14:paraId="6D17B18A">
            <w:pPr>
              <w:widowControl w:val="1"/>
              <w:jc w:val="left"/>
              <w:rPr>
                <w:color w:val="auto"/>
                <w:sz w:val="22"/>
                <w:kern w:val="0"/>
                <w:rFonts w:ascii="等线" w:hAnsi="等线" w:eastAsia="等线" w:cs="宋体"/>
              </w:rPr>
            </w:pPr>
            <w:r>
              <w:rPr>
                <w:color w:val="auto"/>
                <w:sz w:val="22"/>
                <w:kern w:val="0"/>
                <w:rFonts w:ascii="等线" w:hAnsi="等线" w:eastAsia="等线" w:cs="宋体"/>
              </w:rPr>
              <w:t>　</w:t>
            </w:r>
          </w:p>
        </w:tc>
      </w:tr>
      <w:tr w14:paraId="701F29A3">
        <w:tblPrEx>
          <w:tblCellMar>
            <w:top w:type="dxa" w:w="0.000000"/>
            <w:bottom w:type="dxa" w:w="0.000000"/>
            <w:left w:type="dxa" w:w="108.000000"/>
            <w:right w:type="dxa" w:w="108.000000"/>
          </w:tblCellMar>
        </w:tblPrEx>
        <w:trPr>
          <w:trHeight w:val="624" w:hRule="atLeast"/>
        </w:trPr>
        <w:tc>
          <w:tcPr>
            <w:tcW w:w="331" w:type="pct"/>
            <w:vAlign w:val="center"/>
            <w:tcBorders>
              <w:top w:val="nil"/>
              <w:left w:val="single" w:color="auto" w:sz="4" w:space="0"/>
              <w:bottom w:val="single" w:color="auto" w:sz="4" w:space="0"/>
              <w:right w:val="single" w:color="auto" w:sz="4" w:space="0"/>
            </w:tcBorders>
          </w:tcPr>
          <w:p w14:paraId="29F5497A">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1343" w:type="pct"/>
            <w:vAlign w:val="center"/>
            <w:tcBorders>
              <w:top w:val="nil"/>
              <w:left w:val="nil"/>
              <w:bottom w:val="single" w:color="auto" w:sz="4" w:space="0"/>
              <w:right w:val="single" w:color="auto" w:sz="4" w:space="0"/>
            </w:tcBorders>
          </w:tcPr>
          <w:p w14:paraId="42109819">
            <w:pPr>
              <w:widowControl w:val="1"/>
              <w:jc w:val="center"/>
              <w:rPr>
                <w:color w:val="auto"/>
                <w:sz w:val="22"/>
                <w:kern w:val="0"/>
                <w:rFonts w:ascii="宋体" w:hAnsi="宋体" w:eastAsia="宋体" w:cs="宋体"/>
              </w:rPr>
            </w:pPr>
            <w:r>
              <w:rPr>
                <w:color w:val="auto"/>
                <w:sz w:val="22"/>
                <w:kern w:val="0"/>
                <w:rFonts w:ascii="宋体" w:hAnsi="宋体" w:eastAsia="宋体" w:cs="宋体"/>
              </w:rPr>
              <w:t>智能三相剩余电流动作继电器（4G机械款）</w:t>
            </w:r>
          </w:p>
        </w:tc>
        <w:tc>
          <w:tcPr>
            <w:tcW w:w="1646" w:type="pct"/>
            <w:vAlign w:val="center"/>
            <w:tcBorders>
              <w:top w:val="nil"/>
              <w:left w:val="nil"/>
              <w:bottom w:val="single" w:color="auto" w:sz="4" w:space="0"/>
              <w:right w:val="single" w:color="auto" w:sz="4" w:space="0"/>
            </w:tcBorders>
          </w:tcPr>
          <w:p w14:paraId="11A7DB90">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tcPr>
          <w:p w14:paraId="6F9EED0A">
            <w:pPr>
              <w:widowControl w:val="1"/>
              <w:jc w:val="center"/>
              <w:rPr>
                <w:color w:val="auto"/>
                <w:sz w:val="22"/>
                <w:kern w:val="0"/>
                <w:rFonts w:ascii="宋体" w:hAnsi="宋体" w:eastAsia="宋体" w:cs="宋体"/>
              </w:rPr>
            </w:pPr>
            <w:r>
              <w:rPr>
                <w:color w:val="auto"/>
                <w:sz w:val="22"/>
                <w:kern w:val="0"/>
                <w:rFonts w:ascii="宋体" w:hAnsi="宋体" w:eastAsia="宋体" w:cs="宋体"/>
              </w:rPr>
              <w:t>个</w:t>
            </w:r>
          </w:p>
        </w:tc>
        <w:tc>
          <w:tcPr>
            <w:tcW w:w="395" w:type="pct"/>
            <w:vAlign w:val="center"/>
            <w:tcBorders>
              <w:top w:val="nil"/>
              <w:left w:val="nil"/>
              <w:bottom w:val="single" w:color="auto" w:sz="4" w:space="0"/>
              <w:right w:val="single" w:color="auto" w:sz="4" w:space="0"/>
            </w:tcBorders>
          </w:tcPr>
          <w:p w14:paraId="3EF88EA5">
            <w:pPr>
              <w:widowControl w:val="1"/>
              <w:jc w:val="center"/>
              <w:rPr>
                <w:color w:val="auto"/>
                <w:sz w:val="22"/>
                <w:kern w:val="0"/>
                <w:rFonts w:ascii="宋体" w:hAnsi="宋体" w:eastAsia="宋体" w:cs="宋体"/>
              </w:rPr>
            </w:pPr>
            <w:r>
              <w:rPr>
                <w:color w:val="auto"/>
                <w:sz w:val="22"/>
                <w:kern w:val="0"/>
                <w:rFonts w:ascii="宋体" w:hAnsi="宋体" w:eastAsia="宋体" w:cs="宋体"/>
              </w:rPr>
              <w:t>30</w:t>
            </w:r>
          </w:p>
        </w:tc>
        <w:tc>
          <w:tcPr>
            <w:tcW w:w="973" w:type="pct"/>
            <w:vAlign w:val="center"/>
            <w:tcBorders>
              <w:top w:val="nil"/>
              <w:left w:val="nil"/>
              <w:bottom w:val="single" w:color="auto" w:sz="4" w:space="0"/>
              <w:right w:val="single" w:color="auto" w:sz="4" w:space="0"/>
            </w:tcBorders>
          </w:tcPr>
          <w:p w14:paraId="60852D13">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3C4AA0C6">
        <w:tblPrEx>
          <w:tblCellMar>
            <w:top w:type="dxa" w:w="0.000000"/>
            <w:bottom w:type="dxa" w:w="0.000000"/>
            <w:left w:type="dxa" w:w="108.000000"/>
            <w:right w:type="dxa" w:w="108.000000"/>
          </w:tblCellMar>
        </w:tblPrEx>
        <w:trPr>
          <w:trHeight w:val="624" w:hRule="atLeast"/>
        </w:trPr>
        <w:tc>
          <w:tcPr>
            <w:tcW w:w="331" w:type="pct"/>
            <w:vAlign w:val="center"/>
            <w:tcBorders>
              <w:top w:val="nil"/>
              <w:left w:val="single" w:color="auto" w:sz="4" w:space="0"/>
              <w:bottom w:val="single" w:color="auto" w:sz="4" w:space="0"/>
              <w:right w:val="single" w:color="auto" w:sz="4" w:space="0"/>
            </w:tcBorders>
          </w:tcPr>
          <w:p w14:paraId="768D3617">
            <w:pPr>
              <w:widowControl w:val="1"/>
              <w:jc w:val="center"/>
              <w:rPr>
                <w:color w:val="auto"/>
                <w:sz w:val="22"/>
                <w:kern w:val="0"/>
                <w:rFonts w:ascii="宋体" w:hAnsi="宋体" w:eastAsia="宋体" w:cs="宋体"/>
              </w:rPr>
            </w:pPr>
            <w:r>
              <w:rPr>
                <w:color w:val="auto"/>
                <w:sz w:val="22"/>
                <w:kern w:val="0"/>
                <w:rFonts w:ascii="宋体" w:hAnsi="宋体" w:eastAsia="宋体" w:cs="宋体"/>
              </w:rPr>
              <w:t>(2)</w:t>
            </w:r>
          </w:p>
        </w:tc>
        <w:tc>
          <w:tcPr>
            <w:tcW w:w="1343" w:type="pct"/>
            <w:vAlign w:val="center"/>
            <w:tcBorders>
              <w:top w:val="nil"/>
              <w:left w:val="nil"/>
              <w:bottom w:val="single" w:color="auto" w:sz="4" w:space="0"/>
              <w:right w:val="single" w:color="auto" w:sz="4" w:space="0"/>
            </w:tcBorders>
          </w:tcPr>
          <w:p w14:paraId="22611581">
            <w:pPr>
              <w:widowControl w:val="1"/>
              <w:jc w:val="center"/>
              <w:rPr>
                <w:color w:val="auto"/>
                <w:sz w:val="22"/>
                <w:kern w:val="0"/>
                <w:rFonts w:ascii="宋体" w:hAnsi="宋体" w:eastAsia="宋体" w:cs="宋体"/>
              </w:rPr>
            </w:pPr>
            <w:r>
              <w:rPr>
                <w:color w:val="auto"/>
                <w:sz w:val="22"/>
                <w:kern w:val="0"/>
                <w:rFonts w:ascii="宋体" w:hAnsi="宋体" w:eastAsia="宋体" w:cs="宋体"/>
              </w:rPr>
              <w:t>智能三相塑壳继电器  （4G版本）</w:t>
            </w:r>
          </w:p>
        </w:tc>
        <w:tc>
          <w:tcPr>
            <w:tcW w:w="1646" w:type="pct"/>
            <w:vAlign w:val="center"/>
            <w:tcBorders>
              <w:top w:val="nil"/>
              <w:left w:val="nil"/>
              <w:bottom w:val="single" w:color="auto" w:sz="4" w:space="0"/>
              <w:right w:val="single" w:color="auto" w:sz="4" w:space="0"/>
            </w:tcBorders>
          </w:tcPr>
          <w:p w14:paraId="0182C72A">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tcPr>
          <w:p w14:paraId="111F4CCF">
            <w:pPr>
              <w:widowControl w:val="1"/>
              <w:jc w:val="center"/>
              <w:rPr>
                <w:color w:val="auto"/>
                <w:sz w:val="22"/>
                <w:kern w:val="0"/>
                <w:rFonts w:ascii="宋体" w:hAnsi="宋体" w:eastAsia="宋体" w:cs="宋体"/>
              </w:rPr>
            </w:pPr>
            <w:r>
              <w:rPr>
                <w:color w:val="auto"/>
                <w:sz w:val="22"/>
                <w:kern w:val="0"/>
                <w:rFonts w:ascii="宋体" w:hAnsi="宋体" w:eastAsia="宋体" w:cs="宋体"/>
              </w:rPr>
              <w:t>个</w:t>
            </w:r>
          </w:p>
        </w:tc>
        <w:tc>
          <w:tcPr>
            <w:tcW w:w="395" w:type="pct"/>
            <w:vAlign w:val="center"/>
            <w:tcBorders>
              <w:top w:val="nil"/>
              <w:left w:val="nil"/>
              <w:bottom w:val="single" w:color="auto" w:sz="4" w:space="0"/>
              <w:right w:val="single" w:color="auto" w:sz="4" w:space="0"/>
            </w:tcBorders>
          </w:tcPr>
          <w:p w14:paraId="78D25DAA">
            <w:pPr>
              <w:widowControl w:val="1"/>
              <w:jc w:val="center"/>
              <w:rPr>
                <w:color w:val="auto"/>
                <w:sz w:val="22"/>
                <w:kern w:val="0"/>
                <w:rFonts w:ascii="宋体" w:hAnsi="宋体" w:eastAsia="宋体" w:cs="宋体"/>
              </w:rPr>
            </w:pPr>
            <w:r>
              <w:rPr>
                <w:color w:val="auto"/>
                <w:sz w:val="22"/>
                <w:kern w:val="0"/>
                <w:rFonts w:ascii="宋体" w:hAnsi="宋体" w:eastAsia="宋体" w:cs="宋体"/>
              </w:rPr>
              <w:t>3</w:t>
            </w:r>
          </w:p>
        </w:tc>
        <w:tc>
          <w:tcPr>
            <w:tcW w:w="973" w:type="pct"/>
            <w:vAlign w:val="center"/>
            <w:tcBorders>
              <w:top w:val="nil"/>
              <w:left w:val="nil"/>
              <w:bottom w:val="single" w:color="auto" w:sz="4" w:space="0"/>
              <w:right w:val="single" w:color="auto" w:sz="4" w:space="0"/>
            </w:tcBorders>
          </w:tcPr>
          <w:p w14:paraId="39603E81">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098ADEA1">
        <w:tblPrEx>
          <w:tblCellMar>
            <w:top w:type="dxa" w:w="0.000000"/>
            <w:bottom w:type="dxa" w:w="0.000000"/>
            <w:left w:type="dxa" w:w="108.000000"/>
            <w:right w:type="dxa" w:w="108.000000"/>
          </w:tblCellMar>
        </w:tblPrEx>
        <w:trPr>
          <w:trHeight w:val="432" w:hRule="atLeast"/>
        </w:trPr>
        <w:tc>
          <w:tcPr>
            <w:tcW w:w="331" w:type="pct"/>
            <w:vAlign w:val="center"/>
            <w:tcBorders>
              <w:top w:val="nil"/>
              <w:left w:val="single" w:color="auto" w:sz="4" w:space="0"/>
              <w:bottom w:val="single" w:color="auto" w:sz="4" w:space="0"/>
              <w:right w:val="single" w:color="auto" w:sz="4" w:space="0"/>
            </w:tcBorders>
          </w:tcPr>
          <w:p w14:paraId="16069177">
            <w:pPr>
              <w:widowControl w:val="1"/>
              <w:jc w:val="center"/>
              <w:rPr>
                <w:color w:val="auto"/>
                <w:sz w:val="22"/>
                <w:kern w:val="0"/>
                <w:rFonts w:ascii="宋体" w:hAnsi="宋体" w:eastAsia="宋体" w:cs="宋体"/>
              </w:rPr>
            </w:pPr>
            <w:r>
              <w:rPr>
                <w:color w:val="auto"/>
                <w:sz w:val="22"/>
                <w:kern w:val="0"/>
                <w:rFonts w:ascii="宋体" w:hAnsi="宋体" w:eastAsia="宋体" w:cs="宋体"/>
              </w:rPr>
              <w:t>(3)</w:t>
            </w:r>
          </w:p>
        </w:tc>
        <w:tc>
          <w:tcPr>
            <w:tcW w:w="1343" w:type="pct"/>
            <w:vAlign w:val="center"/>
            <w:tcBorders>
              <w:top w:val="nil"/>
              <w:left w:val="nil"/>
              <w:bottom w:val="single" w:color="auto" w:sz="4" w:space="0"/>
              <w:right w:val="single" w:color="auto" w:sz="4" w:space="0"/>
            </w:tcBorders>
          </w:tcPr>
          <w:p w14:paraId="15074B4A">
            <w:pPr>
              <w:widowControl w:val="1"/>
              <w:jc w:val="center"/>
              <w:rPr>
                <w:color w:val="auto"/>
                <w:sz w:val="22"/>
                <w:kern w:val="0"/>
                <w:rFonts w:ascii="宋体" w:hAnsi="宋体" w:eastAsia="宋体" w:cs="宋体"/>
              </w:rPr>
            </w:pPr>
            <w:r>
              <w:rPr>
                <w:color w:val="auto"/>
                <w:sz w:val="22"/>
                <w:kern w:val="0"/>
                <w:rFonts w:ascii="宋体" w:hAnsi="宋体" w:eastAsia="宋体" w:cs="宋体"/>
              </w:rPr>
              <w:t>数据通讯</w:t>
            </w:r>
          </w:p>
        </w:tc>
        <w:tc>
          <w:tcPr>
            <w:tcW w:w="1646" w:type="pct"/>
            <w:vAlign w:val="center"/>
            <w:tcBorders>
              <w:top w:val="nil"/>
              <w:left w:val="nil"/>
              <w:bottom w:val="single" w:color="auto" w:sz="4" w:space="0"/>
              <w:right w:val="single" w:color="auto" w:sz="4" w:space="0"/>
            </w:tcBorders>
          </w:tcPr>
          <w:p w14:paraId="53E00D2E">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tcPr>
          <w:p w14:paraId="5566797F">
            <w:pPr>
              <w:widowControl w:val="1"/>
              <w:jc w:val="center"/>
              <w:rPr>
                <w:color w:val="auto"/>
                <w:sz w:val="22"/>
                <w:kern w:val="0"/>
                <w:rFonts w:ascii="宋体" w:hAnsi="宋体" w:eastAsia="宋体" w:cs="宋体"/>
              </w:rPr>
            </w:pPr>
            <w:r>
              <w:rPr>
                <w:color w:val="auto"/>
                <w:sz w:val="22"/>
                <w:kern w:val="0"/>
                <w:rFonts w:ascii="宋体" w:hAnsi="宋体" w:eastAsia="宋体" w:cs="宋体"/>
              </w:rPr>
              <w:t>套</w:t>
            </w:r>
          </w:p>
        </w:tc>
        <w:tc>
          <w:tcPr>
            <w:tcW w:w="395" w:type="pct"/>
            <w:vAlign w:val="center"/>
            <w:tcBorders>
              <w:top w:val="nil"/>
              <w:left w:val="nil"/>
              <w:bottom w:val="single" w:color="auto" w:sz="4" w:space="0"/>
              <w:right w:val="single" w:color="auto" w:sz="4" w:space="0"/>
            </w:tcBorders>
          </w:tcPr>
          <w:p w14:paraId="574FEA88">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973" w:type="pct"/>
            <w:vAlign w:val="center"/>
            <w:tcBorders>
              <w:top w:val="nil"/>
              <w:left w:val="nil"/>
              <w:bottom w:val="single" w:color="auto" w:sz="4" w:space="0"/>
              <w:right w:val="single" w:color="auto" w:sz="4" w:space="0"/>
            </w:tcBorders>
          </w:tcPr>
          <w:p w14:paraId="2FE544BD">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691714B2">
        <w:tblPrEx>
          <w:tblCellMar>
            <w:top w:type="dxa" w:w="0.000000"/>
            <w:bottom w:type="dxa" w:w="0.000000"/>
            <w:left w:type="dxa" w:w="108.000000"/>
            <w:right w:type="dxa" w:w="108.000000"/>
          </w:tblCellMar>
        </w:tblPrEx>
        <w:trPr>
          <w:trHeight w:val="432" w:hRule="atLeast"/>
        </w:trPr>
        <w:tc>
          <w:tcPr>
            <w:tcW w:w="331" w:type="pct"/>
            <w:vAlign w:val="center"/>
            <w:tcBorders>
              <w:top w:val="nil"/>
              <w:left w:val="single" w:color="auto" w:sz="4" w:space="0"/>
              <w:bottom w:val="single" w:color="auto" w:sz="4" w:space="0"/>
              <w:right w:val="single" w:color="auto" w:sz="4" w:space="0"/>
            </w:tcBorders>
          </w:tcPr>
          <w:p w14:paraId="2F8B8368">
            <w:pPr>
              <w:widowControl w:val="1"/>
              <w:jc w:val="center"/>
              <w:rPr>
                <w:color w:val="auto"/>
                <w:sz w:val="22"/>
                <w:kern w:val="0"/>
                <w:rFonts w:ascii="宋体" w:hAnsi="宋体" w:eastAsia="宋体" w:cs="宋体"/>
              </w:rPr>
            </w:pPr>
            <w:r>
              <w:rPr>
                <w:color w:val="auto"/>
                <w:sz w:val="22"/>
                <w:kern w:val="0"/>
                <w:rFonts w:ascii="宋体" w:hAnsi="宋体" w:eastAsia="宋体" w:cs="宋体"/>
              </w:rPr>
              <w:t>1.5</w:t>
            </w:r>
          </w:p>
        </w:tc>
        <w:tc>
          <w:tcPr>
            <w:tcW w:w="1343" w:type="pct"/>
            <w:vAlign w:val="center"/>
            <w:tcBorders>
              <w:top w:val="nil"/>
              <w:left w:val="nil"/>
              <w:bottom w:val="single" w:color="auto" w:sz="4" w:space="0"/>
              <w:right w:val="single" w:color="auto" w:sz="4" w:space="0"/>
            </w:tcBorders>
          </w:tcPr>
          <w:p w14:paraId="163CFA1C">
            <w:pPr>
              <w:widowControl w:val="1"/>
              <w:jc w:val="center"/>
              <w:rPr>
                <w:color w:val="auto"/>
                <w:sz w:val="22"/>
                <w:kern w:val="0"/>
                <w:rFonts w:ascii="宋体" w:hAnsi="宋体" w:eastAsia="宋体" w:cs="宋体"/>
              </w:rPr>
            </w:pPr>
            <w:r>
              <w:rPr>
                <w:color w:val="auto"/>
                <w:sz w:val="22"/>
                <w:kern w:val="0"/>
                <w:rFonts w:ascii="宋体" w:hAnsi="宋体" w:eastAsia="宋体" w:cs="宋体"/>
              </w:rPr>
              <w:t>施工调试费用</w:t>
            </w:r>
          </w:p>
        </w:tc>
        <w:tc>
          <w:tcPr>
            <w:tcW w:w="1646" w:type="pct"/>
            <w:vAlign w:val="center"/>
            <w:tcBorders>
              <w:top w:val="nil"/>
              <w:left w:val="nil"/>
              <w:bottom w:val="single" w:color="auto" w:sz="4" w:space="0"/>
              <w:right w:val="single" w:color="auto" w:sz="4" w:space="0"/>
            </w:tcBorders>
          </w:tcPr>
          <w:p w14:paraId="3C53C908">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tcPr>
          <w:p w14:paraId="75540EF8">
            <w:pPr>
              <w:widowControl w:val="1"/>
              <w:jc w:val="center"/>
              <w:rPr>
                <w:color w:val="auto"/>
                <w:sz w:val="22"/>
                <w:kern w:val="0"/>
                <w:rFonts w:ascii="宋体" w:hAnsi="宋体" w:eastAsia="宋体" w:cs="宋体"/>
              </w:rPr>
            </w:pPr>
            <w:r>
              <w:rPr>
                <w:color w:val="auto"/>
                <w:sz w:val="22"/>
                <w:kern w:val="0"/>
                <w:rFonts w:ascii="宋体" w:hAnsi="宋体" w:eastAsia="宋体" w:cs="宋体"/>
              </w:rPr>
              <w:t>项</w:t>
            </w:r>
          </w:p>
        </w:tc>
        <w:tc>
          <w:tcPr>
            <w:tcW w:w="395" w:type="pct"/>
            <w:vAlign w:val="center"/>
            <w:tcBorders>
              <w:top w:val="nil"/>
              <w:left w:val="nil"/>
              <w:bottom w:val="single" w:color="auto" w:sz="4" w:space="0"/>
              <w:right w:val="single" w:color="auto" w:sz="4" w:space="0"/>
            </w:tcBorders>
          </w:tcPr>
          <w:p w14:paraId="34CF42D8">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973" w:type="pct"/>
            <w:vAlign w:val="center"/>
            <w:tcBorders>
              <w:top w:val="nil"/>
              <w:left w:val="nil"/>
              <w:bottom w:val="single" w:color="auto" w:sz="4" w:space="0"/>
              <w:right w:val="single" w:color="auto" w:sz="4" w:space="0"/>
            </w:tcBorders>
          </w:tcPr>
          <w:p w14:paraId="0E4430F6">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3C5BE7A5">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197A6CB2">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2</w:t>
            </w:r>
          </w:p>
        </w:tc>
        <w:tc>
          <w:tcPr>
            <w:tcW w:w="3696" w:type="pct"/>
            <w:gridSpan w:val="4"/>
            <w:vAlign w:val="center"/>
            <w:tcBorders>
              <w:top w:val="single" w:color="auto" w:sz="4" w:space="0"/>
              <w:left w:val="nil"/>
              <w:bottom w:val="single" w:color="auto" w:sz="4" w:space="0"/>
              <w:right w:val="single" w:color="auto" w:sz="4" w:space="0"/>
            </w:tcBorders>
          </w:tcPr>
          <w:p w14:paraId="08A8A822">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低压抽屉柜智能监测仪表</w:t>
            </w:r>
          </w:p>
        </w:tc>
        <w:tc>
          <w:tcPr>
            <w:tcW w:w="973" w:type="pct"/>
            <w:vAlign w:val="bottom"/>
            <w:tcBorders>
              <w:top w:val="nil"/>
              <w:left w:val="nil"/>
              <w:bottom w:val="single" w:color="auto" w:sz="4" w:space="0"/>
              <w:right w:val="single" w:color="auto" w:sz="4" w:space="0"/>
            </w:tcBorders>
          </w:tcPr>
          <w:p w14:paraId="4946CE0F">
            <w:pPr>
              <w:widowControl w:val="1"/>
              <w:jc w:val="left"/>
              <w:rPr>
                <w:color w:val="auto"/>
                <w:sz w:val="22"/>
                <w:kern w:val="0"/>
                <w:rFonts w:ascii="等线" w:hAnsi="等线" w:eastAsia="等线" w:cs="宋体"/>
              </w:rPr>
            </w:pPr>
            <w:r>
              <w:rPr>
                <w:color w:val="auto"/>
                <w:sz w:val="22"/>
                <w:kern w:val="0"/>
                <w:rFonts w:ascii="等线" w:hAnsi="等线" w:eastAsia="等线" w:cs="宋体"/>
              </w:rPr>
              <w:t>　</w:t>
            </w:r>
          </w:p>
        </w:tc>
      </w:tr>
      <w:tr w14:paraId="4313BE52">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2CD288BF">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1343" w:type="pct"/>
            <w:vAlign w:val="center"/>
            <w:tcBorders>
              <w:top w:val="nil"/>
              <w:left w:val="nil"/>
              <w:bottom w:val="single" w:color="auto" w:sz="4" w:space="0"/>
              <w:right w:val="single" w:color="auto" w:sz="4" w:space="0"/>
            </w:tcBorders>
            <w:shd w:val="clear" w:color="000000" w:fill="FFFFFF"/>
          </w:tcPr>
          <w:p w14:paraId="23D4DF21">
            <w:pPr>
              <w:widowControl w:val="1"/>
              <w:jc w:val="center"/>
              <w:rPr>
                <w:color w:val="auto"/>
                <w:sz w:val="22"/>
                <w:kern w:val="0"/>
                <w:rFonts w:ascii="宋体" w:hAnsi="宋体" w:eastAsia="宋体" w:cs="宋体"/>
              </w:rPr>
            </w:pPr>
            <w:r>
              <w:rPr>
                <w:color w:val="auto"/>
                <w:sz w:val="22"/>
                <w:kern w:val="0"/>
                <w:rFonts w:ascii="宋体" w:hAnsi="宋体" w:eastAsia="宋体" w:cs="宋体"/>
              </w:rPr>
              <w:t>0.4kV多功能仪表</w:t>
            </w:r>
          </w:p>
        </w:tc>
        <w:tc>
          <w:tcPr>
            <w:tcW w:w="1646" w:type="pct"/>
            <w:vAlign w:val="center"/>
            <w:tcBorders>
              <w:top w:val="nil"/>
              <w:left w:val="nil"/>
              <w:bottom w:val="single" w:color="auto" w:sz="4" w:space="0"/>
              <w:right w:val="single" w:color="auto" w:sz="4" w:space="0"/>
            </w:tcBorders>
            <w:shd w:val="clear" w:color="000000" w:fill="FFFFFF"/>
          </w:tcPr>
          <w:p w14:paraId="3880C35D">
            <w:pPr>
              <w:widowControl w:val="1"/>
              <w:jc w:val="center"/>
              <w:rPr>
                <w:color w:val="auto"/>
                <w:sz w:val="22"/>
                <w:kern w:val="0"/>
                <w:rFonts w:ascii="宋体" w:hAnsi="宋体" w:eastAsia="宋体" w:cs="宋体"/>
              </w:rPr>
            </w:pPr>
            <w:r>
              <w:rPr>
                <w:color w:val="auto"/>
                <w:sz w:val="22"/>
                <w:kern w:val="0"/>
                <w:rFonts w:ascii="宋体" w:hAnsi="宋体" w:eastAsia="宋体" w:cs="宋体"/>
              </w:rPr>
              <w:t>IHD530S</w:t>
            </w:r>
          </w:p>
        </w:tc>
        <w:tc>
          <w:tcPr>
            <w:tcW w:w="312" w:type="pct"/>
            <w:vAlign w:val="center"/>
            <w:tcBorders>
              <w:top w:val="nil"/>
              <w:left w:val="nil"/>
              <w:bottom w:val="single" w:color="auto" w:sz="4" w:space="0"/>
              <w:right w:val="single" w:color="auto" w:sz="4" w:space="0"/>
            </w:tcBorders>
            <w:shd w:val="clear" w:color="000000" w:fill="FFFFFF"/>
          </w:tcPr>
          <w:p w14:paraId="3ED3A07A">
            <w:pPr>
              <w:widowControl w:val="1"/>
              <w:jc w:val="center"/>
              <w:rPr>
                <w:color w:val="auto"/>
                <w:sz w:val="22"/>
                <w:kern w:val="0"/>
                <w:rFonts w:ascii="宋体" w:hAnsi="宋体" w:eastAsia="宋体" w:cs="宋体"/>
              </w:rPr>
            </w:pPr>
            <w:r>
              <w:rPr>
                <w:color w:val="auto"/>
                <w:sz w:val="22"/>
                <w:kern w:val="0"/>
                <w:rFonts w:ascii="宋体" w:hAnsi="宋体" w:eastAsia="宋体" w:cs="宋体"/>
              </w:rPr>
              <w:t>台</w:t>
            </w:r>
          </w:p>
        </w:tc>
        <w:tc>
          <w:tcPr>
            <w:tcW w:w="395" w:type="pct"/>
            <w:vAlign w:val="center"/>
            <w:tcBorders>
              <w:top w:val="nil"/>
              <w:left w:val="nil"/>
              <w:bottom w:val="single" w:color="auto" w:sz="4" w:space="0"/>
              <w:right w:val="single" w:color="auto" w:sz="4" w:space="0"/>
            </w:tcBorders>
            <w:shd w:val="clear" w:color="000000" w:fill="FFFFFF"/>
          </w:tcPr>
          <w:p w14:paraId="57C02C0E">
            <w:pPr>
              <w:widowControl w:val="1"/>
              <w:jc w:val="center"/>
              <w:rPr>
                <w:color w:val="auto"/>
                <w:sz w:val="22"/>
                <w:kern w:val="0"/>
                <w:rFonts w:ascii="宋体" w:hAnsi="宋体" w:eastAsia="宋体" w:cs="宋体"/>
              </w:rPr>
            </w:pPr>
            <w:r>
              <w:rPr>
                <w:color w:val="auto"/>
                <w:sz w:val="22"/>
                <w:kern w:val="0"/>
                <w:rFonts w:ascii="宋体" w:hAnsi="宋体" w:eastAsia="宋体" w:cs="宋体"/>
              </w:rPr>
              <w:t>45</w:t>
            </w:r>
          </w:p>
        </w:tc>
        <w:tc>
          <w:tcPr>
            <w:tcW w:w="973" w:type="pct"/>
            <w:vAlign w:val="center"/>
            <w:tcBorders>
              <w:top w:val="nil"/>
              <w:left w:val="nil"/>
              <w:bottom w:val="single" w:color="auto" w:sz="4" w:space="0"/>
              <w:right w:val="single" w:color="auto" w:sz="4" w:space="0"/>
            </w:tcBorders>
            <w:shd w:val="clear" w:color="000000" w:fill="FFFFFF"/>
          </w:tcPr>
          <w:p w14:paraId="0266F6B9">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462396CD">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67792296">
            <w:pPr>
              <w:widowControl w:val="1"/>
              <w:jc w:val="center"/>
              <w:rPr>
                <w:color w:val="auto"/>
                <w:sz w:val="22"/>
                <w:kern w:val="0"/>
                <w:rFonts w:ascii="宋体" w:hAnsi="宋体" w:eastAsia="宋体" w:cs="宋体"/>
              </w:rPr>
            </w:pPr>
            <w:r>
              <w:rPr>
                <w:color w:val="auto"/>
                <w:sz w:val="22"/>
                <w:kern w:val="0"/>
                <w:rFonts w:ascii="宋体" w:hAnsi="宋体" w:eastAsia="宋体" w:cs="宋体"/>
              </w:rPr>
              <w:t>(2)</w:t>
            </w:r>
          </w:p>
        </w:tc>
        <w:tc>
          <w:tcPr>
            <w:tcW w:w="1343" w:type="pct"/>
            <w:vAlign w:val="center"/>
            <w:tcBorders>
              <w:top w:val="nil"/>
              <w:left w:val="nil"/>
              <w:bottom w:val="single" w:color="auto" w:sz="4" w:space="0"/>
              <w:right w:val="single" w:color="auto" w:sz="4" w:space="0"/>
            </w:tcBorders>
            <w:shd w:val="clear" w:color="000000" w:fill="FFFFFF"/>
          </w:tcPr>
          <w:p w14:paraId="2D30BA52">
            <w:pPr>
              <w:widowControl w:val="1"/>
              <w:jc w:val="center"/>
              <w:rPr>
                <w:color w:val="auto"/>
                <w:sz w:val="22"/>
                <w:kern w:val="0"/>
                <w:rFonts w:ascii="宋体" w:hAnsi="宋体" w:eastAsia="宋体" w:cs="宋体"/>
              </w:rPr>
            </w:pPr>
            <w:r>
              <w:rPr>
                <w:color w:val="auto"/>
                <w:sz w:val="22"/>
                <w:kern w:val="0"/>
                <w:rFonts w:ascii="宋体" w:hAnsi="宋体" w:eastAsia="宋体" w:cs="宋体"/>
              </w:rPr>
              <w:t>屏柜</w:t>
            </w:r>
          </w:p>
        </w:tc>
        <w:tc>
          <w:tcPr>
            <w:tcW w:w="1646" w:type="pct"/>
            <w:vAlign w:val="center"/>
            <w:tcBorders>
              <w:top w:val="nil"/>
              <w:left w:val="nil"/>
              <w:bottom w:val="single" w:color="auto" w:sz="4" w:space="0"/>
              <w:right w:val="single" w:color="auto" w:sz="4" w:space="0"/>
            </w:tcBorders>
            <w:shd w:val="clear" w:color="000000" w:fill="FFFFFF"/>
          </w:tcPr>
          <w:p w14:paraId="4168AFDC">
            <w:pPr>
              <w:widowControl w:val="1"/>
              <w:jc w:val="center"/>
              <w:rPr>
                <w:color w:val="auto"/>
                <w:sz w:val="22"/>
                <w:kern w:val="0"/>
                <w:rFonts w:ascii="宋体" w:hAnsi="宋体" w:eastAsia="宋体" w:cs="宋体"/>
              </w:rPr>
            </w:pPr>
            <w:r>
              <w:rPr>
                <w:color w:val="auto"/>
                <w:sz w:val="22"/>
                <w:kern w:val="0"/>
                <w:rFonts w:ascii="宋体" w:hAnsi="宋体" w:eastAsia="宋体" w:cs="宋体"/>
              </w:rPr>
              <w:t>PK-10,2260*800*600</w:t>
            </w:r>
          </w:p>
        </w:tc>
        <w:tc>
          <w:tcPr>
            <w:tcW w:w="312" w:type="pct"/>
            <w:vAlign w:val="center"/>
            <w:tcBorders>
              <w:top w:val="nil"/>
              <w:left w:val="nil"/>
              <w:bottom w:val="single" w:color="auto" w:sz="4" w:space="0"/>
              <w:right w:val="single" w:color="auto" w:sz="4" w:space="0"/>
            </w:tcBorders>
            <w:shd w:val="clear" w:color="000000" w:fill="FFFFFF"/>
          </w:tcPr>
          <w:p w14:paraId="682F5D1E">
            <w:pPr>
              <w:widowControl w:val="1"/>
              <w:jc w:val="center"/>
              <w:rPr>
                <w:color w:val="auto"/>
                <w:sz w:val="22"/>
                <w:kern w:val="0"/>
                <w:rFonts w:ascii="宋体" w:hAnsi="宋体" w:eastAsia="宋体" w:cs="宋体"/>
              </w:rPr>
            </w:pPr>
            <w:r>
              <w:rPr>
                <w:color w:val="auto"/>
                <w:sz w:val="22"/>
                <w:kern w:val="0"/>
                <w:rFonts w:ascii="宋体" w:hAnsi="宋体" w:eastAsia="宋体" w:cs="宋体"/>
              </w:rPr>
              <w:t>面</w:t>
            </w:r>
          </w:p>
        </w:tc>
        <w:tc>
          <w:tcPr>
            <w:tcW w:w="395" w:type="pct"/>
            <w:vAlign w:val="center"/>
            <w:tcBorders>
              <w:top w:val="nil"/>
              <w:left w:val="nil"/>
              <w:bottom w:val="single" w:color="auto" w:sz="4" w:space="0"/>
              <w:right w:val="single" w:color="auto" w:sz="4" w:space="0"/>
            </w:tcBorders>
            <w:shd w:val="clear" w:color="000000" w:fill="FFFFFF"/>
          </w:tcPr>
          <w:p w14:paraId="7C142BB3">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973" w:type="pct"/>
            <w:vAlign w:val="center"/>
            <w:tcBorders>
              <w:top w:val="nil"/>
              <w:left w:val="nil"/>
              <w:bottom w:val="single" w:color="auto" w:sz="4" w:space="0"/>
              <w:right w:val="single" w:color="auto" w:sz="4" w:space="0"/>
            </w:tcBorders>
            <w:shd w:val="clear" w:color="000000" w:fill="FFFFFF"/>
          </w:tcPr>
          <w:p w14:paraId="2CDD7022">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7A1AEE1C">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5E5D1721">
            <w:pPr>
              <w:widowControl w:val="1"/>
              <w:jc w:val="center"/>
              <w:rPr>
                <w:color w:val="auto"/>
                <w:sz w:val="22"/>
                <w:kern w:val="0"/>
                <w:rFonts w:ascii="宋体" w:hAnsi="宋体" w:eastAsia="宋体" w:cs="宋体"/>
              </w:rPr>
            </w:pPr>
            <w:r>
              <w:rPr>
                <w:color w:val="auto"/>
                <w:sz w:val="22"/>
                <w:kern w:val="0"/>
                <w:rFonts w:ascii="宋体" w:hAnsi="宋体" w:eastAsia="宋体" w:cs="宋体"/>
              </w:rPr>
              <w:t>(3)</w:t>
            </w:r>
          </w:p>
        </w:tc>
        <w:tc>
          <w:tcPr>
            <w:tcW w:w="1343" w:type="pct"/>
            <w:vAlign w:val="center"/>
            <w:tcBorders>
              <w:top w:val="nil"/>
              <w:left w:val="nil"/>
              <w:bottom w:val="single" w:color="auto" w:sz="4" w:space="0"/>
              <w:right w:val="single" w:color="auto" w:sz="4" w:space="0"/>
            </w:tcBorders>
            <w:shd w:val="clear" w:color="000000" w:fill="FFFFFF"/>
          </w:tcPr>
          <w:p w14:paraId="344D32F7">
            <w:pPr>
              <w:widowControl w:val="1"/>
              <w:jc w:val="center"/>
              <w:rPr>
                <w:color w:val="auto"/>
                <w:sz w:val="22"/>
                <w:kern w:val="0"/>
                <w:rFonts w:ascii="宋体" w:hAnsi="宋体" w:eastAsia="宋体" w:cs="宋体"/>
              </w:rPr>
            </w:pPr>
            <w:r>
              <w:rPr>
                <w:color w:val="auto"/>
                <w:sz w:val="22"/>
                <w:kern w:val="0"/>
                <w:rFonts w:ascii="宋体" w:hAnsi="宋体" w:eastAsia="宋体" w:cs="宋体"/>
              </w:rPr>
              <w:t>电流互感器</w:t>
            </w:r>
          </w:p>
        </w:tc>
        <w:tc>
          <w:tcPr>
            <w:tcW w:w="1646" w:type="pct"/>
            <w:vAlign w:val="center"/>
            <w:tcBorders>
              <w:top w:val="nil"/>
              <w:left w:val="nil"/>
              <w:bottom w:val="single" w:color="auto" w:sz="4" w:space="0"/>
              <w:right w:val="single" w:color="auto" w:sz="4" w:space="0"/>
            </w:tcBorders>
            <w:shd w:val="clear" w:color="000000" w:fill="FFFFFF"/>
          </w:tcPr>
          <w:p w14:paraId="10A90FBD">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shd w:val="clear" w:color="000000" w:fill="FFFFFF"/>
          </w:tcPr>
          <w:p w14:paraId="40CD8F9D">
            <w:pPr>
              <w:widowControl w:val="1"/>
              <w:jc w:val="center"/>
              <w:rPr>
                <w:color w:val="auto"/>
                <w:sz w:val="22"/>
                <w:kern w:val="0"/>
                <w:rFonts w:ascii="宋体" w:hAnsi="宋体" w:eastAsia="宋体" w:cs="宋体"/>
              </w:rPr>
            </w:pPr>
            <w:r>
              <w:rPr>
                <w:color w:val="auto"/>
                <w:sz w:val="22"/>
                <w:kern w:val="0"/>
                <w:rFonts w:ascii="宋体" w:hAnsi="宋体" w:eastAsia="宋体" w:cs="宋体"/>
              </w:rPr>
              <w:t>只</w:t>
            </w:r>
          </w:p>
        </w:tc>
        <w:tc>
          <w:tcPr>
            <w:tcW w:w="395" w:type="pct"/>
            <w:vAlign w:val="center"/>
            <w:tcBorders>
              <w:top w:val="nil"/>
              <w:left w:val="nil"/>
              <w:bottom w:val="single" w:color="auto" w:sz="4" w:space="0"/>
              <w:right w:val="single" w:color="auto" w:sz="4" w:space="0"/>
            </w:tcBorders>
            <w:shd w:val="clear" w:color="000000" w:fill="FFFFFF"/>
          </w:tcPr>
          <w:p w14:paraId="290B5E97">
            <w:pPr>
              <w:widowControl w:val="1"/>
              <w:jc w:val="center"/>
              <w:rPr>
                <w:color w:val="auto"/>
                <w:sz w:val="22"/>
                <w:kern w:val="0"/>
                <w:rFonts w:ascii="宋体" w:hAnsi="宋体" w:eastAsia="宋体" w:cs="宋体"/>
              </w:rPr>
            </w:pPr>
            <w:r>
              <w:rPr>
                <w:color w:val="auto"/>
                <w:sz w:val="22"/>
                <w:kern w:val="0"/>
                <w:rFonts w:ascii="宋体" w:hAnsi="宋体" w:eastAsia="宋体" w:cs="宋体"/>
              </w:rPr>
              <w:t>135</w:t>
            </w:r>
          </w:p>
        </w:tc>
        <w:tc>
          <w:tcPr>
            <w:tcW w:w="973" w:type="pct"/>
            <w:vAlign w:val="center"/>
            <w:tcBorders>
              <w:top w:val="nil"/>
              <w:left w:val="nil"/>
              <w:bottom w:val="single" w:color="auto" w:sz="4" w:space="0"/>
              <w:right w:val="single" w:color="auto" w:sz="4" w:space="0"/>
            </w:tcBorders>
            <w:shd w:val="clear" w:color="000000" w:fill="FFFFFF"/>
          </w:tcPr>
          <w:p w14:paraId="3438978E">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2F54139C">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762DABF8">
            <w:pPr>
              <w:widowControl w:val="1"/>
              <w:jc w:val="center"/>
              <w:rPr>
                <w:color w:val="auto"/>
                <w:sz w:val="22"/>
                <w:kern w:val="0"/>
                <w:rFonts w:ascii="宋体" w:hAnsi="宋体" w:eastAsia="宋体" w:cs="宋体"/>
              </w:rPr>
            </w:pPr>
            <w:r>
              <w:rPr>
                <w:color w:val="auto"/>
                <w:sz w:val="22"/>
                <w:kern w:val="0"/>
                <w:rFonts w:ascii="宋体" w:hAnsi="宋体" w:eastAsia="宋体" w:cs="宋体"/>
              </w:rPr>
              <w:t>(4)</w:t>
            </w:r>
          </w:p>
        </w:tc>
        <w:tc>
          <w:tcPr>
            <w:tcW w:w="1343" w:type="pct"/>
            <w:vAlign w:val="center"/>
            <w:tcBorders>
              <w:top w:val="nil"/>
              <w:left w:val="nil"/>
              <w:bottom w:val="single" w:color="auto" w:sz="4" w:space="0"/>
              <w:right w:val="single" w:color="auto" w:sz="4" w:space="0"/>
            </w:tcBorders>
            <w:shd w:val="clear" w:color="000000" w:fill="FFFFFF"/>
          </w:tcPr>
          <w:p w14:paraId="512B366A">
            <w:pPr>
              <w:widowControl w:val="1"/>
              <w:jc w:val="center"/>
              <w:rPr>
                <w:color w:val="auto"/>
                <w:sz w:val="22"/>
                <w:kern w:val="0"/>
                <w:rFonts w:ascii="宋体" w:hAnsi="宋体" w:eastAsia="宋体" w:cs="宋体"/>
              </w:rPr>
            </w:pPr>
            <w:r>
              <w:rPr>
                <w:color w:val="auto"/>
                <w:sz w:val="22"/>
                <w:kern w:val="0"/>
                <w:rFonts w:ascii="宋体" w:hAnsi="宋体" w:eastAsia="宋体" w:cs="宋体"/>
              </w:rPr>
              <w:t>控制电缆</w:t>
            </w:r>
          </w:p>
        </w:tc>
        <w:tc>
          <w:tcPr>
            <w:tcW w:w="1646" w:type="pct"/>
            <w:vAlign w:val="center"/>
            <w:tcBorders>
              <w:top w:val="nil"/>
              <w:left w:val="nil"/>
              <w:bottom w:val="single" w:color="auto" w:sz="4" w:space="0"/>
              <w:right w:val="single" w:color="auto" w:sz="4" w:space="0"/>
            </w:tcBorders>
            <w:shd w:val="clear" w:color="000000" w:fill="FFFFFF"/>
          </w:tcPr>
          <w:p w14:paraId="01D35AF3">
            <w:pPr>
              <w:widowControl w:val="1"/>
              <w:jc w:val="center"/>
              <w:rPr>
                <w:color w:val="auto"/>
                <w:sz w:val="22"/>
                <w:kern w:val="0"/>
                <w:rFonts w:ascii="宋体" w:hAnsi="宋体" w:eastAsia="宋体" w:cs="宋体"/>
              </w:rPr>
            </w:pPr>
            <w:r>
              <w:rPr>
                <w:color w:val="auto"/>
                <w:sz w:val="22"/>
                <w:kern w:val="0"/>
                <w:rFonts w:ascii="宋体" w:hAnsi="宋体" w:eastAsia="宋体" w:cs="宋体"/>
              </w:rPr>
              <w:t>4芯2.5mm2</w:t>
            </w:r>
          </w:p>
        </w:tc>
        <w:tc>
          <w:tcPr>
            <w:tcW w:w="312" w:type="pct"/>
            <w:vAlign w:val="center"/>
            <w:tcBorders>
              <w:top w:val="nil"/>
              <w:left w:val="nil"/>
              <w:bottom w:val="single" w:color="auto" w:sz="4" w:space="0"/>
              <w:right w:val="single" w:color="auto" w:sz="4" w:space="0"/>
            </w:tcBorders>
            <w:shd w:val="clear" w:color="000000" w:fill="FFFFFF"/>
          </w:tcPr>
          <w:p w14:paraId="2454D8F9">
            <w:pPr>
              <w:widowControl w:val="1"/>
              <w:jc w:val="center"/>
              <w:rPr>
                <w:color w:val="auto"/>
                <w:sz w:val="22"/>
                <w:kern w:val="0"/>
                <w:rFonts w:ascii="宋体" w:hAnsi="宋体" w:eastAsia="宋体" w:cs="宋体"/>
              </w:rPr>
            </w:pPr>
            <w:r>
              <w:rPr>
                <w:color w:val="auto"/>
                <w:sz w:val="22"/>
                <w:kern w:val="0"/>
                <w:rFonts w:ascii="宋体" w:hAnsi="宋体" w:eastAsia="宋体" w:cs="宋体"/>
              </w:rPr>
              <w:t>米</w:t>
            </w:r>
          </w:p>
        </w:tc>
        <w:tc>
          <w:tcPr>
            <w:tcW w:w="395" w:type="pct"/>
            <w:vAlign w:val="center"/>
            <w:tcBorders>
              <w:top w:val="nil"/>
              <w:left w:val="nil"/>
              <w:bottom w:val="single" w:color="auto" w:sz="4" w:space="0"/>
              <w:right w:val="single" w:color="auto" w:sz="4" w:space="0"/>
            </w:tcBorders>
            <w:shd w:val="clear" w:color="000000" w:fill="FFFFFF"/>
          </w:tcPr>
          <w:p w14:paraId="661480E1">
            <w:pPr>
              <w:widowControl w:val="1"/>
              <w:jc w:val="center"/>
              <w:rPr>
                <w:color w:val="auto"/>
                <w:sz w:val="22"/>
                <w:kern w:val="0"/>
                <w:rFonts w:ascii="宋体" w:hAnsi="宋体" w:eastAsia="宋体" w:cs="宋体"/>
              </w:rPr>
            </w:pPr>
            <w:r>
              <w:rPr>
                <w:color w:val="auto"/>
                <w:sz w:val="22"/>
                <w:kern w:val="0"/>
                <w:rFonts w:ascii="宋体" w:hAnsi="宋体" w:eastAsia="宋体" w:cs="宋体"/>
              </w:rPr>
              <w:t>1000</w:t>
            </w:r>
          </w:p>
        </w:tc>
        <w:tc>
          <w:tcPr>
            <w:tcW w:w="973" w:type="pct"/>
            <w:vAlign w:val="center"/>
            <w:tcBorders>
              <w:top w:val="nil"/>
              <w:left w:val="nil"/>
              <w:bottom w:val="single" w:color="auto" w:sz="4" w:space="0"/>
              <w:right w:val="single" w:color="auto" w:sz="4" w:space="0"/>
            </w:tcBorders>
            <w:shd w:val="clear" w:color="000000" w:fill="FFFFFF"/>
          </w:tcPr>
          <w:p w14:paraId="3BA11FF7">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7FD8DF77">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47810916">
            <w:pPr>
              <w:widowControl w:val="1"/>
              <w:jc w:val="center"/>
              <w:rPr>
                <w:color w:val="auto"/>
                <w:sz w:val="22"/>
                <w:kern w:val="0"/>
                <w:rFonts w:ascii="宋体" w:hAnsi="宋体" w:eastAsia="宋体" w:cs="宋体"/>
              </w:rPr>
            </w:pPr>
            <w:r>
              <w:rPr>
                <w:color w:val="auto"/>
                <w:sz w:val="22"/>
                <w:kern w:val="0"/>
                <w:rFonts w:ascii="宋体" w:hAnsi="宋体" w:eastAsia="宋体" w:cs="宋体"/>
              </w:rPr>
              <w:t>(5)</w:t>
            </w:r>
          </w:p>
        </w:tc>
        <w:tc>
          <w:tcPr>
            <w:tcW w:w="1343" w:type="pct"/>
            <w:vAlign w:val="center"/>
            <w:tcBorders>
              <w:top w:val="nil"/>
              <w:left w:val="nil"/>
              <w:bottom w:val="single" w:color="auto" w:sz="4" w:space="0"/>
              <w:right w:val="single" w:color="auto" w:sz="4" w:space="0"/>
            </w:tcBorders>
            <w:shd w:val="clear" w:color="000000" w:fill="FFFFFF"/>
          </w:tcPr>
          <w:p w14:paraId="3C465A6C">
            <w:pPr>
              <w:widowControl w:val="1"/>
              <w:jc w:val="center"/>
              <w:rPr>
                <w:color w:val="auto"/>
                <w:sz w:val="22"/>
                <w:kern w:val="0"/>
                <w:rFonts w:ascii="宋体" w:hAnsi="宋体" w:eastAsia="宋体" w:cs="宋体"/>
              </w:rPr>
            </w:pPr>
            <w:r>
              <w:rPr>
                <w:color w:val="auto"/>
                <w:sz w:val="22"/>
                <w:kern w:val="0"/>
                <w:rFonts w:ascii="宋体" w:hAnsi="宋体" w:eastAsia="宋体" w:cs="宋体"/>
              </w:rPr>
              <w:t>施工调试费用</w:t>
            </w:r>
          </w:p>
        </w:tc>
        <w:tc>
          <w:tcPr>
            <w:tcW w:w="1646" w:type="pct"/>
            <w:vAlign w:val="center"/>
            <w:tcBorders>
              <w:top w:val="nil"/>
              <w:left w:val="nil"/>
              <w:bottom w:val="single" w:color="auto" w:sz="4" w:space="0"/>
              <w:right w:val="single" w:color="auto" w:sz="4" w:space="0"/>
            </w:tcBorders>
            <w:shd w:val="clear" w:color="000000" w:fill="FFFFFF"/>
          </w:tcPr>
          <w:p w14:paraId="7207BB5F">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shd w:val="clear" w:color="000000" w:fill="FFFFFF"/>
          </w:tcPr>
          <w:p w14:paraId="2DAC190F">
            <w:pPr>
              <w:widowControl w:val="1"/>
              <w:jc w:val="center"/>
              <w:rPr>
                <w:color w:val="auto"/>
                <w:sz w:val="22"/>
                <w:kern w:val="0"/>
                <w:rFonts w:ascii="宋体" w:hAnsi="宋体" w:eastAsia="宋体" w:cs="宋体"/>
              </w:rPr>
            </w:pPr>
            <w:r>
              <w:rPr>
                <w:color w:val="auto"/>
                <w:sz w:val="22"/>
                <w:kern w:val="0"/>
                <w:rFonts w:ascii="宋体" w:hAnsi="宋体" w:eastAsia="宋体" w:cs="宋体"/>
              </w:rPr>
              <w:t>项</w:t>
            </w:r>
          </w:p>
        </w:tc>
        <w:tc>
          <w:tcPr>
            <w:tcW w:w="395" w:type="pct"/>
            <w:vAlign w:val="center"/>
            <w:tcBorders>
              <w:top w:val="nil"/>
              <w:left w:val="nil"/>
              <w:bottom w:val="single" w:color="auto" w:sz="4" w:space="0"/>
              <w:right w:val="single" w:color="auto" w:sz="4" w:space="0"/>
            </w:tcBorders>
            <w:shd w:val="clear" w:color="000000" w:fill="FFFFFF"/>
          </w:tcPr>
          <w:p w14:paraId="3E4A1D81">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973" w:type="pct"/>
            <w:vAlign w:val="center"/>
            <w:tcBorders>
              <w:top w:val="nil"/>
              <w:left w:val="nil"/>
              <w:bottom w:val="single" w:color="auto" w:sz="4" w:space="0"/>
              <w:right w:val="single" w:color="auto" w:sz="4" w:space="0"/>
            </w:tcBorders>
            <w:shd w:val="clear" w:color="000000" w:fill="FFFFFF"/>
          </w:tcPr>
          <w:p w14:paraId="3C5ABB86">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6C45331E">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6802A3F6">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3</w:t>
            </w:r>
          </w:p>
        </w:tc>
        <w:tc>
          <w:tcPr>
            <w:tcW w:w="3696" w:type="pct"/>
            <w:gridSpan w:val="4"/>
            <w:vAlign w:val="center"/>
            <w:tcBorders>
              <w:top w:val="single" w:color="auto" w:sz="4" w:space="0"/>
              <w:left w:val="nil"/>
              <w:bottom w:val="single" w:color="auto" w:sz="4" w:space="0"/>
              <w:right w:val="single" w:color="auto" w:sz="4" w:space="0"/>
            </w:tcBorders>
          </w:tcPr>
          <w:p w14:paraId="4858FACB">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高压开关柜智能监测装置</w:t>
            </w:r>
          </w:p>
        </w:tc>
        <w:tc>
          <w:tcPr>
            <w:tcW w:w="973" w:type="pct"/>
            <w:vAlign w:val="bottom"/>
            <w:tcBorders>
              <w:top w:val="nil"/>
              <w:left w:val="nil"/>
              <w:bottom w:val="single" w:color="auto" w:sz="4" w:space="0"/>
              <w:right w:val="single" w:color="auto" w:sz="4" w:space="0"/>
            </w:tcBorders>
          </w:tcPr>
          <w:p w14:paraId="189A2334">
            <w:pPr>
              <w:widowControl w:val="1"/>
              <w:jc w:val="left"/>
              <w:rPr>
                <w:color w:val="auto"/>
                <w:sz w:val="22"/>
                <w:kern w:val="0"/>
                <w:rFonts w:ascii="等线" w:hAnsi="等线" w:eastAsia="等线" w:cs="宋体"/>
              </w:rPr>
            </w:pPr>
            <w:r>
              <w:rPr>
                <w:color w:val="auto"/>
                <w:sz w:val="22"/>
                <w:kern w:val="0"/>
                <w:rFonts w:ascii="等线" w:hAnsi="等线" w:eastAsia="等线" w:cs="宋体"/>
              </w:rPr>
              <w:t>　</w:t>
            </w:r>
          </w:p>
        </w:tc>
      </w:tr>
      <w:tr w14:paraId="083F4C6D">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35C6ECB3">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1343" w:type="pct"/>
            <w:vAlign w:val="center"/>
            <w:tcBorders>
              <w:top w:val="nil"/>
              <w:left w:val="nil"/>
              <w:bottom w:val="single" w:color="auto" w:sz="4" w:space="0"/>
              <w:right w:val="single" w:color="auto" w:sz="4" w:space="0"/>
            </w:tcBorders>
            <w:shd w:val="clear" w:color="000000" w:fill="FFFFFF"/>
          </w:tcPr>
          <w:p w14:paraId="2B7370F6">
            <w:pPr>
              <w:widowControl w:val="1"/>
              <w:jc w:val="center"/>
              <w:rPr>
                <w:color w:val="auto"/>
                <w:sz w:val="22"/>
                <w:kern w:val="0"/>
                <w:rFonts w:ascii="宋体" w:hAnsi="宋体" w:eastAsia="宋体" w:cs="宋体"/>
              </w:rPr>
            </w:pPr>
            <w:r>
              <w:rPr>
                <w:color w:val="auto"/>
                <w:sz w:val="22"/>
                <w:kern w:val="0"/>
                <w:rFonts w:ascii="宋体" w:hAnsi="宋体" w:eastAsia="宋体" w:cs="宋体"/>
              </w:rPr>
              <w:t>线路保护测控装置</w:t>
            </w:r>
          </w:p>
        </w:tc>
        <w:tc>
          <w:tcPr>
            <w:tcW w:w="1646" w:type="pct"/>
            <w:vAlign w:val="center"/>
            <w:tcBorders>
              <w:top w:val="nil"/>
              <w:left w:val="nil"/>
              <w:bottom w:val="single" w:color="auto" w:sz="4" w:space="0"/>
              <w:right w:val="single" w:color="auto" w:sz="4" w:space="0"/>
            </w:tcBorders>
            <w:shd w:val="clear" w:color="000000" w:fill="FFFFFF"/>
          </w:tcPr>
          <w:p w14:paraId="06C1505B">
            <w:pPr>
              <w:widowControl w:val="1"/>
              <w:jc w:val="center"/>
              <w:rPr>
                <w:color w:val="auto"/>
                <w:sz w:val="22"/>
                <w:kern w:val="0"/>
                <w:rFonts w:ascii="宋体" w:hAnsi="宋体" w:eastAsia="宋体" w:cs="宋体"/>
              </w:rPr>
            </w:pPr>
            <w:r>
              <w:rPr>
                <w:color w:val="auto"/>
                <w:sz w:val="22"/>
                <w:kern w:val="0"/>
                <w:rFonts w:ascii="宋体" w:hAnsi="宋体" w:eastAsia="宋体" w:cs="宋体"/>
              </w:rPr>
              <w:t>IHD6100U</w:t>
            </w:r>
          </w:p>
        </w:tc>
        <w:tc>
          <w:tcPr>
            <w:tcW w:w="312" w:type="pct"/>
            <w:vAlign w:val="center"/>
            <w:tcBorders>
              <w:top w:val="nil"/>
              <w:left w:val="nil"/>
              <w:bottom w:val="single" w:color="auto" w:sz="4" w:space="0"/>
              <w:right w:val="single" w:color="auto" w:sz="4" w:space="0"/>
            </w:tcBorders>
            <w:shd w:val="clear" w:color="000000" w:fill="FFFFFF"/>
          </w:tcPr>
          <w:p w14:paraId="4134755F">
            <w:pPr>
              <w:widowControl w:val="1"/>
              <w:jc w:val="center"/>
              <w:rPr>
                <w:color w:val="auto"/>
                <w:sz w:val="22"/>
                <w:kern w:val="0"/>
                <w:rFonts w:ascii="宋体" w:hAnsi="宋体" w:eastAsia="宋体" w:cs="宋体"/>
              </w:rPr>
            </w:pPr>
            <w:r>
              <w:rPr>
                <w:color w:val="auto"/>
                <w:sz w:val="22"/>
                <w:kern w:val="0"/>
                <w:rFonts w:ascii="宋体" w:hAnsi="宋体" w:eastAsia="宋体" w:cs="宋体"/>
              </w:rPr>
              <w:t>台</w:t>
            </w:r>
          </w:p>
        </w:tc>
        <w:tc>
          <w:tcPr>
            <w:tcW w:w="395" w:type="pct"/>
            <w:vAlign w:val="center"/>
            <w:tcBorders>
              <w:top w:val="nil"/>
              <w:left w:val="nil"/>
              <w:bottom w:val="single" w:color="auto" w:sz="4" w:space="0"/>
              <w:right w:val="single" w:color="auto" w:sz="4" w:space="0"/>
            </w:tcBorders>
            <w:shd w:val="clear" w:color="000000" w:fill="FFFFFF"/>
          </w:tcPr>
          <w:p w14:paraId="14878DD6">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973" w:type="pct"/>
            <w:vAlign w:val="center"/>
            <w:tcBorders>
              <w:top w:val="nil"/>
              <w:left w:val="nil"/>
              <w:bottom w:val="single" w:color="auto" w:sz="4" w:space="0"/>
              <w:right w:val="single" w:color="auto" w:sz="4" w:space="0"/>
            </w:tcBorders>
            <w:shd w:val="clear" w:color="000000" w:fill="FFFFFF"/>
          </w:tcPr>
          <w:p w14:paraId="2F5919CB">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　</w:t>
            </w:r>
          </w:p>
        </w:tc>
      </w:tr>
      <w:tr w14:paraId="7A843B3E">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7F63B69A">
            <w:pPr>
              <w:widowControl w:val="1"/>
              <w:jc w:val="center"/>
              <w:rPr>
                <w:color w:val="auto"/>
                <w:sz w:val="22"/>
                <w:kern w:val="0"/>
                <w:rFonts w:ascii="宋体" w:hAnsi="宋体" w:eastAsia="宋体" w:cs="宋体"/>
              </w:rPr>
            </w:pPr>
            <w:r>
              <w:rPr>
                <w:color w:val="auto"/>
                <w:sz w:val="22"/>
                <w:kern w:val="0"/>
                <w:rFonts w:ascii="宋体" w:hAnsi="宋体" w:eastAsia="宋体" w:cs="宋体"/>
              </w:rPr>
              <w:t>(2)</w:t>
            </w:r>
          </w:p>
        </w:tc>
        <w:tc>
          <w:tcPr>
            <w:tcW w:w="1343" w:type="pct"/>
            <w:vAlign w:val="center"/>
            <w:tcBorders>
              <w:top w:val="nil"/>
              <w:left w:val="nil"/>
              <w:bottom w:val="single" w:color="auto" w:sz="4" w:space="0"/>
              <w:right w:val="single" w:color="auto" w:sz="4" w:space="0"/>
            </w:tcBorders>
            <w:shd w:val="clear" w:color="000000" w:fill="FFFFFF"/>
          </w:tcPr>
          <w:p w14:paraId="2F613D50">
            <w:pPr>
              <w:widowControl w:val="1"/>
              <w:jc w:val="center"/>
              <w:rPr>
                <w:color w:val="auto"/>
                <w:sz w:val="22"/>
                <w:kern w:val="0"/>
                <w:rFonts w:ascii="宋体" w:hAnsi="宋体" w:eastAsia="宋体" w:cs="宋体"/>
              </w:rPr>
            </w:pPr>
            <w:r>
              <w:rPr>
                <w:color w:val="auto"/>
                <w:sz w:val="22"/>
                <w:kern w:val="0"/>
                <w:rFonts w:ascii="宋体" w:hAnsi="宋体" w:eastAsia="宋体" w:cs="宋体"/>
              </w:rPr>
              <w:t>更换施工调试费用</w:t>
            </w:r>
          </w:p>
        </w:tc>
        <w:tc>
          <w:tcPr>
            <w:tcW w:w="1646" w:type="pct"/>
            <w:vAlign w:val="center"/>
            <w:tcBorders>
              <w:top w:val="nil"/>
              <w:left w:val="nil"/>
              <w:bottom w:val="single" w:color="auto" w:sz="4" w:space="0"/>
              <w:right w:val="single" w:color="auto" w:sz="4" w:space="0"/>
            </w:tcBorders>
            <w:shd w:val="clear" w:color="000000" w:fill="FFFFFF"/>
          </w:tcPr>
          <w:p w14:paraId="4079FA35">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shd w:val="clear" w:color="000000" w:fill="FFFFFF"/>
          </w:tcPr>
          <w:p w14:paraId="22809C6C">
            <w:pPr>
              <w:widowControl w:val="1"/>
              <w:jc w:val="center"/>
              <w:rPr>
                <w:color w:val="auto"/>
                <w:sz w:val="22"/>
                <w:kern w:val="0"/>
                <w:rFonts w:ascii="宋体" w:hAnsi="宋体" w:eastAsia="宋体" w:cs="宋体"/>
              </w:rPr>
            </w:pPr>
            <w:r>
              <w:rPr>
                <w:color w:val="auto"/>
                <w:sz w:val="22"/>
                <w:kern w:val="0"/>
                <w:rFonts w:ascii="宋体" w:hAnsi="宋体" w:eastAsia="宋体" w:cs="宋体"/>
              </w:rPr>
              <w:t>项</w:t>
            </w:r>
          </w:p>
        </w:tc>
        <w:tc>
          <w:tcPr>
            <w:tcW w:w="395" w:type="pct"/>
            <w:vAlign w:val="center"/>
            <w:tcBorders>
              <w:top w:val="nil"/>
              <w:left w:val="nil"/>
              <w:bottom w:val="single" w:color="auto" w:sz="4" w:space="0"/>
              <w:right w:val="single" w:color="auto" w:sz="4" w:space="0"/>
            </w:tcBorders>
            <w:shd w:val="clear" w:color="000000" w:fill="FFFFFF"/>
          </w:tcPr>
          <w:p w14:paraId="3AFD948E">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973" w:type="pct"/>
            <w:vAlign w:val="center"/>
            <w:tcBorders>
              <w:top w:val="nil"/>
              <w:left w:val="nil"/>
              <w:bottom w:val="single" w:color="auto" w:sz="4" w:space="0"/>
              <w:right w:val="single" w:color="auto" w:sz="4" w:space="0"/>
            </w:tcBorders>
            <w:shd w:val="clear" w:color="000000" w:fill="FFFFFF"/>
          </w:tcPr>
          <w:p w14:paraId="2D38E3B4">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　</w:t>
            </w:r>
          </w:p>
        </w:tc>
      </w:tr>
      <w:tr w14:paraId="5E9D132D">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6C8AEE5D">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4</w:t>
            </w:r>
          </w:p>
        </w:tc>
        <w:tc>
          <w:tcPr>
            <w:tcW w:w="3696" w:type="pct"/>
            <w:gridSpan w:val="4"/>
            <w:vAlign w:val="center"/>
            <w:tcBorders>
              <w:top w:val="single" w:color="auto" w:sz="4" w:space="0"/>
              <w:left w:val="nil"/>
              <w:bottom w:val="single" w:color="auto" w:sz="4" w:space="0"/>
              <w:right w:val="single" w:color="auto" w:sz="4" w:space="0"/>
            </w:tcBorders>
          </w:tcPr>
          <w:p w14:paraId="28E75DD2">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电力设备智能温度监测</w:t>
            </w:r>
          </w:p>
        </w:tc>
        <w:tc>
          <w:tcPr>
            <w:tcW w:w="973" w:type="pct"/>
            <w:vAlign w:val="bottom"/>
            <w:tcBorders>
              <w:top w:val="nil"/>
              <w:left w:val="nil"/>
              <w:bottom w:val="single" w:color="auto" w:sz="4" w:space="0"/>
              <w:right w:val="single" w:color="auto" w:sz="4" w:space="0"/>
            </w:tcBorders>
          </w:tcPr>
          <w:p w14:paraId="4F071AD4">
            <w:pPr>
              <w:widowControl w:val="1"/>
              <w:jc w:val="left"/>
              <w:rPr>
                <w:color w:val="auto"/>
                <w:sz w:val="22"/>
                <w:kern w:val="0"/>
                <w:rFonts w:ascii="等线" w:hAnsi="等线" w:eastAsia="等线" w:cs="宋体"/>
              </w:rPr>
            </w:pPr>
            <w:r>
              <w:rPr>
                <w:color w:val="auto"/>
                <w:sz w:val="22"/>
                <w:kern w:val="0"/>
                <w:rFonts w:ascii="等线" w:hAnsi="等线" w:eastAsia="等线" w:cs="宋体"/>
              </w:rPr>
              <w:t>　</w:t>
            </w:r>
          </w:p>
        </w:tc>
      </w:tr>
      <w:tr w14:paraId="08FBC8A4">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4AF58F39">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1343" w:type="pct"/>
            <w:vAlign w:val="center"/>
            <w:tcBorders>
              <w:top w:val="nil"/>
              <w:left w:val="nil"/>
              <w:bottom w:val="single" w:color="auto" w:sz="4" w:space="0"/>
              <w:right w:val="single" w:color="auto" w:sz="4" w:space="0"/>
            </w:tcBorders>
          </w:tcPr>
          <w:p w14:paraId="49844A6F">
            <w:pPr>
              <w:widowControl w:val="1"/>
              <w:jc w:val="center"/>
              <w:rPr>
                <w:color w:val="auto"/>
                <w:sz w:val="24"/>
                <w:kern w:val="0"/>
                <w:szCs w:val="24"/>
                <w:rFonts w:ascii="宋体" w:hAnsi="宋体" w:eastAsia="宋体" w:cs="宋体"/>
              </w:rPr>
            </w:pPr>
            <w:r>
              <w:rPr>
                <w:color w:val="auto"/>
                <w:sz w:val="24"/>
                <w:kern w:val="0"/>
                <w:szCs w:val="24"/>
                <w:rFonts w:ascii="宋体" w:hAnsi="宋体" w:eastAsia="宋体" w:cs="宋体"/>
              </w:rPr>
              <w:t>变压器温度监测</w:t>
            </w:r>
          </w:p>
        </w:tc>
        <w:tc>
          <w:tcPr>
            <w:tcW w:w="1646" w:type="pct"/>
            <w:vAlign w:val="center"/>
            <w:tcBorders>
              <w:top w:val="nil"/>
              <w:left w:val="nil"/>
              <w:bottom w:val="single" w:color="auto" w:sz="4" w:space="0"/>
              <w:right w:val="single" w:color="auto" w:sz="4" w:space="0"/>
            </w:tcBorders>
          </w:tcPr>
          <w:p w14:paraId="73285E29">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tcPr>
          <w:p w14:paraId="6EB142ED">
            <w:pPr>
              <w:widowControl w:val="1"/>
              <w:jc w:val="center"/>
              <w:rPr>
                <w:color w:val="auto"/>
                <w:sz w:val="22"/>
                <w:kern w:val="0"/>
                <w:rFonts w:ascii="宋体" w:hAnsi="宋体" w:eastAsia="宋体" w:cs="宋体"/>
              </w:rPr>
            </w:pPr>
            <w:r>
              <w:rPr>
                <w:color w:val="auto"/>
                <w:sz w:val="22"/>
                <w:kern w:val="0"/>
                <w:rFonts w:ascii="宋体" w:hAnsi="宋体" w:eastAsia="宋体" w:cs="宋体"/>
              </w:rPr>
              <w:t>套</w:t>
            </w:r>
          </w:p>
        </w:tc>
        <w:tc>
          <w:tcPr>
            <w:tcW w:w="395" w:type="pct"/>
            <w:vAlign w:val="center"/>
            <w:tcBorders>
              <w:top w:val="nil"/>
              <w:left w:val="nil"/>
              <w:bottom w:val="single" w:color="auto" w:sz="4" w:space="0"/>
              <w:right w:val="single" w:color="auto" w:sz="4" w:space="0"/>
            </w:tcBorders>
          </w:tcPr>
          <w:p w14:paraId="21617E01">
            <w:pPr>
              <w:widowControl w:val="1"/>
              <w:jc w:val="center"/>
              <w:rPr>
                <w:color w:val="auto"/>
                <w:sz w:val="22"/>
                <w:kern w:val="0"/>
                <w:rFonts w:ascii="宋体" w:hAnsi="宋体" w:eastAsia="宋体" w:cs="宋体"/>
              </w:rPr>
            </w:pPr>
            <w:r>
              <w:rPr>
                <w:color w:val="auto"/>
                <w:sz w:val="22"/>
                <w:kern w:val="0"/>
                <w:rFonts w:ascii="宋体" w:hAnsi="宋体" w:eastAsia="宋体" w:cs="宋体"/>
              </w:rPr>
              <w:t>2</w:t>
            </w:r>
          </w:p>
        </w:tc>
        <w:tc>
          <w:tcPr>
            <w:tcW w:w="973" w:type="pct"/>
            <w:vAlign w:val="center"/>
            <w:tcBorders>
              <w:top w:val="nil"/>
              <w:left w:val="nil"/>
              <w:bottom w:val="single" w:color="auto" w:sz="4" w:space="0"/>
              <w:right w:val="single" w:color="auto" w:sz="4" w:space="0"/>
            </w:tcBorders>
          </w:tcPr>
          <w:p w14:paraId="342BA23D">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32B64C1E">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3E4D042F">
            <w:pPr>
              <w:widowControl w:val="1"/>
              <w:jc w:val="center"/>
              <w:rPr>
                <w:color w:val="auto"/>
                <w:sz w:val="22"/>
                <w:kern w:val="0"/>
                <w:rFonts w:ascii="宋体" w:hAnsi="宋体" w:eastAsia="宋体" w:cs="宋体"/>
              </w:rPr>
            </w:pPr>
            <w:r>
              <w:rPr>
                <w:color w:val="auto"/>
                <w:sz w:val="22"/>
                <w:kern w:val="0"/>
                <w:rFonts w:ascii="宋体" w:hAnsi="宋体" w:eastAsia="宋体" w:cs="宋体"/>
              </w:rPr>
              <w:t>(2)</w:t>
            </w:r>
          </w:p>
        </w:tc>
        <w:tc>
          <w:tcPr>
            <w:tcW w:w="1343" w:type="pct"/>
            <w:vAlign w:val="center"/>
            <w:tcBorders>
              <w:top w:val="nil"/>
              <w:left w:val="nil"/>
              <w:bottom w:val="single" w:color="auto" w:sz="4" w:space="0"/>
              <w:right w:val="single" w:color="auto" w:sz="4" w:space="0"/>
            </w:tcBorders>
          </w:tcPr>
          <w:p w14:paraId="2BA6594A">
            <w:pPr>
              <w:widowControl w:val="1"/>
              <w:jc w:val="center"/>
              <w:rPr>
                <w:color w:val="auto"/>
                <w:sz w:val="24"/>
                <w:kern w:val="0"/>
                <w:szCs w:val="24"/>
                <w:rFonts w:ascii="宋体" w:hAnsi="宋体" w:eastAsia="宋体" w:cs="宋体"/>
              </w:rPr>
            </w:pPr>
            <w:r>
              <w:rPr>
                <w:color w:val="auto"/>
                <w:sz w:val="24"/>
                <w:kern w:val="0"/>
                <w:szCs w:val="24"/>
                <w:rFonts w:ascii="宋体" w:hAnsi="宋体" w:eastAsia="宋体" w:cs="宋体"/>
              </w:rPr>
              <w:t>开关柜温度监测</w:t>
            </w:r>
          </w:p>
        </w:tc>
        <w:tc>
          <w:tcPr>
            <w:tcW w:w="1646" w:type="pct"/>
            <w:vAlign w:val="center"/>
            <w:tcBorders>
              <w:top w:val="nil"/>
              <w:left w:val="nil"/>
              <w:bottom w:val="single" w:color="auto" w:sz="4" w:space="0"/>
              <w:right w:val="single" w:color="auto" w:sz="4" w:space="0"/>
            </w:tcBorders>
          </w:tcPr>
          <w:p w14:paraId="27BC3A09">
            <w:pPr>
              <w:widowControl w:val="1"/>
              <w:jc w:val="center"/>
              <w:rPr>
                <w:color w:val="auto"/>
                <w:sz w:val="22"/>
                <w:kern w:val="0"/>
                <w:rFonts w:ascii="宋体" w:hAnsi="宋体" w:eastAsia="宋体" w:cs="宋体"/>
              </w:rPr>
            </w:pPr>
            <w:r>
              <w:rPr>
                <w:color w:val="auto"/>
                <w:sz w:val="22"/>
                <w:kern w:val="0"/>
                <w:rFonts w:ascii="宋体" w:hAnsi="宋体" w:eastAsia="宋体" w:cs="宋体"/>
              </w:rPr>
              <w:t>6点测温</w:t>
            </w:r>
          </w:p>
        </w:tc>
        <w:tc>
          <w:tcPr>
            <w:tcW w:w="312" w:type="pct"/>
            <w:vAlign w:val="center"/>
            <w:tcBorders>
              <w:top w:val="nil"/>
              <w:left w:val="nil"/>
              <w:bottom w:val="single" w:color="auto" w:sz="4" w:space="0"/>
              <w:right w:val="single" w:color="auto" w:sz="4" w:space="0"/>
            </w:tcBorders>
          </w:tcPr>
          <w:p w14:paraId="7B0B300D">
            <w:pPr>
              <w:widowControl w:val="1"/>
              <w:jc w:val="center"/>
              <w:rPr>
                <w:color w:val="auto"/>
                <w:sz w:val="22"/>
                <w:kern w:val="0"/>
                <w:rFonts w:ascii="宋体" w:hAnsi="宋体" w:eastAsia="宋体" w:cs="宋体"/>
              </w:rPr>
            </w:pPr>
            <w:r>
              <w:rPr>
                <w:color w:val="auto"/>
                <w:sz w:val="22"/>
                <w:kern w:val="0"/>
                <w:rFonts w:ascii="宋体" w:hAnsi="宋体" w:eastAsia="宋体" w:cs="宋体"/>
              </w:rPr>
              <w:t>套</w:t>
            </w:r>
          </w:p>
        </w:tc>
        <w:tc>
          <w:tcPr>
            <w:tcW w:w="395" w:type="pct"/>
            <w:vAlign w:val="center"/>
            <w:tcBorders>
              <w:top w:val="nil"/>
              <w:left w:val="nil"/>
              <w:bottom w:val="single" w:color="auto" w:sz="4" w:space="0"/>
              <w:right w:val="single" w:color="auto" w:sz="4" w:space="0"/>
            </w:tcBorders>
          </w:tcPr>
          <w:p w14:paraId="773F592E">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973" w:type="pct"/>
            <w:vAlign w:val="center"/>
            <w:tcBorders>
              <w:top w:val="nil"/>
              <w:left w:val="nil"/>
              <w:bottom w:val="single" w:color="auto" w:sz="4" w:space="0"/>
              <w:right w:val="single" w:color="auto" w:sz="4" w:space="0"/>
            </w:tcBorders>
          </w:tcPr>
          <w:p w14:paraId="544D40A8">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5DD28135">
        <w:tblPrEx>
          <w:tblCellMar>
            <w:top w:type="dxa" w:w="0.000000"/>
            <w:bottom w:type="dxa" w:w="0.000000"/>
            <w:left w:type="dxa" w:w="108.000000"/>
            <w:right w:type="dxa" w:w="108.000000"/>
          </w:tblCellMar>
        </w:tblPrEx>
        <w:trPr>
          <w:trHeight w:val="396" w:hRule="atLeast"/>
        </w:trPr>
        <w:tc>
          <w:tcPr>
            <w:tcW w:w="331" w:type="pct"/>
            <w:vMerge w:val="restart"/>
            <w:vAlign w:val="center"/>
            <w:tcBorders>
              <w:top w:val="nil"/>
              <w:left w:val="single" w:color="auto" w:sz="4" w:space="0"/>
              <w:bottom w:val="single" w:color="000000" w:sz="4" w:space="0"/>
              <w:right w:val="single" w:color="auto" w:sz="4" w:space="0"/>
            </w:tcBorders>
          </w:tcPr>
          <w:p w14:paraId="1692E1A2">
            <w:pPr>
              <w:widowControl w:val="1"/>
              <w:jc w:val="center"/>
              <w:rPr>
                <w:color w:val="auto"/>
                <w:sz w:val="22"/>
                <w:kern w:val="0"/>
                <w:rFonts w:ascii="宋体" w:hAnsi="宋体" w:eastAsia="宋体" w:cs="宋体"/>
              </w:rPr>
            </w:pPr>
            <w:r>
              <w:rPr>
                <w:color w:val="auto"/>
                <w:sz w:val="22"/>
                <w:kern w:val="0"/>
                <w:rFonts w:ascii="宋体" w:hAnsi="宋体" w:eastAsia="宋体" w:cs="宋体"/>
              </w:rPr>
              <w:t>(3)</w:t>
            </w:r>
          </w:p>
        </w:tc>
        <w:tc>
          <w:tcPr>
            <w:tcW w:w="1343" w:type="pct"/>
            <w:vMerge w:val="restart"/>
            <w:vAlign w:val="center"/>
            <w:tcBorders>
              <w:top w:val="nil"/>
              <w:left w:val="single" w:color="auto" w:sz="4" w:space="0"/>
              <w:bottom w:val="single" w:color="000000" w:sz="4" w:space="0"/>
              <w:right w:val="single" w:color="auto" w:sz="4" w:space="0"/>
            </w:tcBorders>
          </w:tcPr>
          <w:p w14:paraId="1BE6C950">
            <w:pPr>
              <w:widowControl w:val="1"/>
              <w:jc w:val="center"/>
              <w:rPr>
                <w:color w:val="auto"/>
                <w:sz w:val="24"/>
                <w:kern w:val="0"/>
                <w:szCs w:val="24"/>
                <w:rFonts w:ascii="宋体" w:hAnsi="宋体" w:eastAsia="宋体" w:cs="宋体"/>
              </w:rPr>
            </w:pPr>
            <w:r>
              <w:rPr>
                <w:color w:val="auto"/>
                <w:sz w:val="24"/>
                <w:kern w:val="0"/>
                <w:szCs w:val="24"/>
                <w:rFonts w:ascii="宋体" w:hAnsi="宋体" w:eastAsia="宋体" w:cs="宋体"/>
              </w:rPr>
              <w:t>抽屉柜温度监测</w:t>
            </w:r>
          </w:p>
        </w:tc>
        <w:tc>
          <w:tcPr>
            <w:tcW w:w="1646" w:type="pct"/>
            <w:vAlign w:val="center"/>
            <w:tcBorders>
              <w:top w:val="nil"/>
              <w:left w:val="nil"/>
              <w:bottom w:val="single" w:color="auto" w:sz="4" w:space="0"/>
              <w:right w:val="single" w:color="auto" w:sz="4" w:space="0"/>
            </w:tcBorders>
          </w:tcPr>
          <w:p w14:paraId="7FC5C425">
            <w:pPr>
              <w:widowControl w:val="1"/>
              <w:jc w:val="center"/>
              <w:rPr>
                <w:color w:val="auto"/>
                <w:sz w:val="22"/>
                <w:kern w:val="0"/>
                <w:rFonts w:ascii="宋体" w:hAnsi="宋体" w:eastAsia="宋体" w:cs="宋体"/>
              </w:rPr>
            </w:pPr>
            <w:r>
              <w:rPr>
                <w:color w:val="auto"/>
                <w:sz w:val="22"/>
                <w:kern w:val="0"/>
                <w:rFonts w:ascii="宋体" w:hAnsi="宋体" w:eastAsia="宋体" w:cs="宋体"/>
              </w:rPr>
              <w:t>3点测温</w:t>
            </w:r>
          </w:p>
        </w:tc>
        <w:tc>
          <w:tcPr>
            <w:tcW w:w="312" w:type="pct"/>
            <w:vAlign w:val="center"/>
            <w:tcBorders>
              <w:top w:val="nil"/>
              <w:left w:val="nil"/>
              <w:bottom w:val="single" w:color="auto" w:sz="4" w:space="0"/>
              <w:right w:val="single" w:color="auto" w:sz="4" w:space="0"/>
            </w:tcBorders>
          </w:tcPr>
          <w:p w14:paraId="6102C796">
            <w:pPr>
              <w:widowControl w:val="1"/>
              <w:jc w:val="center"/>
              <w:rPr>
                <w:color w:val="auto"/>
                <w:sz w:val="22"/>
                <w:kern w:val="0"/>
                <w:rFonts w:ascii="宋体" w:hAnsi="宋体" w:eastAsia="宋体" w:cs="宋体"/>
              </w:rPr>
            </w:pPr>
            <w:r>
              <w:rPr>
                <w:color w:val="auto"/>
                <w:sz w:val="22"/>
                <w:kern w:val="0"/>
                <w:rFonts w:ascii="宋体" w:hAnsi="宋体" w:eastAsia="宋体" w:cs="宋体"/>
              </w:rPr>
              <w:t>套</w:t>
            </w:r>
          </w:p>
        </w:tc>
        <w:tc>
          <w:tcPr>
            <w:tcW w:w="395" w:type="pct"/>
            <w:vAlign w:val="center"/>
            <w:tcBorders>
              <w:top w:val="nil"/>
              <w:left w:val="nil"/>
              <w:bottom w:val="single" w:color="auto" w:sz="4" w:space="0"/>
              <w:right w:val="single" w:color="auto" w:sz="4" w:space="0"/>
            </w:tcBorders>
          </w:tcPr>
          <w:p w14:paraId="42AFA0FB">
            <w:pPr>
              <w:widowControl w:val="1"/>
              <w:jc w:val="center"/>
              <w:rPr>
                <w:color w:val="auto"/>
                <w:sz w:val="22"/>
                <w:kern w:val="0"/>
                <w:rFonts w:ascii="宋体" w:hAnsi="宋体" w:eastAsia="宋体" w:cs="宋体"/>
              </w:rPr>
            </w:pPr>
            <w:r>
              <w:rPr>
                <w:color w:val="auto"/>
                <w:sz w:val="22"/>
                <w:kern w:val="0"/>
                <w:rFonts w:ascii="宋体" w:hAnsi="宋体" w:eastAsia="宋体" w:cs="宋体"/>
              </w:rPr>
              <w:t>41</w:t>
            </w:r>
          </w:p>
        </w:tc>
        <w:tc>
          <w:tcPr>
            <w:tcW w:w="973" w:type="pct"/>
            <w:vAlign w:val="center"/>
            <w:tcBorders>
              <w:top w:val="nil"/>
              <w:left w:val="nil"/>
              <w:bottom w:val="single" w:color="auto" w:sz="4" w:space="0"/>
              <w:right w:val="single" w:color="auto" w:sz="4" w:space="0"/>
            </w:tcBorders>
          </w:tcPr>
          <w:p w14:paraId="66BF8EB4">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6567E2E0">
        <w:tblPrEx>
          <w:tblCellMar>
            <w:top w:type="dxa" w:w="0.000000"/>
            <w:bottom w:type="dxa" w:w="0.000000"/>
            <w:left w:type="dxa" w:w="108.000000"/>
            <w:right w:type="dxa" w:w="108.000000"/>
          </w:tblCellMar>
        </w:tblPrEx>
        <w:trPr>
          <w:trHeight w:val="396" w:hRule="atLeast"/>
        </w:trPr>
        <w:tc>
          <w:tcPr>
            <w:tcW w:w="331" w:type="pct"/>
            <w:vMerge w:val="continue"/>
            <w:vAlign w:val="center"/>
            <w:tcBorders>
              <w:top w:val="nil"/>
              <w:left w:val="single" w:color="auto" w:sz="4" w:space="0"/>
              <w:bottom w:val="single" w:color="000000" w:sz="4" w:space="0"/>
              <w:right w:val="single" w:color="auto" w:sz="4" w:space="0"/>
            </w:tcBorders>
          </w:tcPr>
          <w:p w14:paraId="6FB3A4B8">
            <w:pPr>
              <w:widowControl w:val="1"/>
              <w:jc w:val="left"/>
              <w:rPr>
                <w:color w:val="auto"/>
                <w:sz w:val="22"/>
                <w:kern w:val="0"/>
                <w:rFonts w:ascii="宋体" w:hAnsi="宋体" w:eastAsia="宋体" w:cs="宋体"/>
              </w:rPr>
            </w:pPr>
          </w:p>
        </w:tc>
        <w:tc>
          <w:tcPr>
            <w:tcW w:w="1343" w:type="pct"/>
            <w:vMerge w:val="continue"/>
            <w:vAlign w:val="center"/>
            <w:tcBorders>
              <w:top w:val="nil"/>
              <w:left w:val="single" w:color="auto" w:sz="4" w:space="0"/>
              <w:bottom w:val="single" w:color="000000" w:sz="4" w:space="0"/>
              <w:right w:val="single" w:color="auto" w:sz="4" w:space="0"/>
            </w:tcBorders>
          </w:tcPr>
          <w:p w14:paraId="59C31836">
            <w:pPr>
              <w:widowControl w:val="1"/>
              <w:jc w:val="left"/>
              <w:rPr>
                <w:color w:val="auto"/>
                <w:sz w:val="24"/>
                <w:kern w:val="0"/>
                <w:szCs w:val="24"/>
                <w:rFonts w:ascii="宋体" w:hAnsi="宋体" w:eastAsia="宋体" w:cs="宋体"/>
              </w:rPr>
            </w:pPr>
          </w:p>
        </w:tc>
        <w:tc>
          <w:tcPr>
            <w:tcW w:w="1646" w:type="pct"/>
            <w:vAlign w:val="center"/>
            <w:tcBorders>
              <w:top w:val="nil"/>
              <w:left w:val="nil"/>
              <w:bottom w:val="single" w:color="auto" w:sz="4" w:space="0"/>
              <w:right w:val="single" w:color="auto" w:sz="4" w:space="0"/>
            </w:tcBorders>
          </w:tcPr>
          <w:p w14:paraId="2C84A2B7">
            <w:pPr>
              <w:widowControl w:val="1"/>
              <w:jc w:val="center"/>
              <w:rPr>
                <w:color w:val="auto"/>
                <w:sz w:val="22"/>
                <w:kern w:val="0"/>
                <w:rFonts w:ascii="宋体" w:hAnsi="宋体" w:eastAsia="宋体" w:cs="宋体"/>
              </w:rPr>
            </w:pPr>
            <w:r>
              <w:rPr>
                <w:color w:val="auto"/>
                <w:sz w:val="22"/>
                <w:kern w:val="0"/>
                <w:rFonts w:ascii="宋体" w:hAnsi="宋体" w:eastAsia="宋体" w:cs="宋体"/>
              </w:rPr>
              <w:t>6点测温</w:t>
            </w:r>
          </w:p>
        </w:tc>
        <w:tc>
          <w:tcPr>
            <w:tcW w:w="312" w:type="pct"/>
            <w:vAlign w:val="center"/>
            <w:tcBorders>
              <w:top w:val="nil"/>
              <w:left w:val="nil"/>
              <w:bottom w:val="single" w:color="auto" w:sz="4" w:space="0"/>
              <w:right w:val="single" w:color="auto" w:sz="4" w:space="0"/>
            </w:tcBorders>
          </w:tcPr>
          <w:p w14:paraId="77630AD0">
            <w:pPr>
              <w:widowControl w:val="1"/>
              <w:jc w:val="center"/>
              <w:rPr>
                <w:color w:val="auto"/>
                <w:sz w:val="22"/>
                <w:kern w:val="0"/>
                <w:rFonts w:ascii="宋体" w:hAnsi="宋体" w:eastAsia="宋体" w:cs="宋体"/>
              </w:rPr>
            </w:pPr>
            <w:r>
              <w:rPr>
                <w:color w:val="auto"/>
                <w:sz w:val="22"/>
                <w:kern w:val="0"/>
                <w:rFonts w:ascii="宋体" w:hAnsi="宋体" w:eastAsia="宋体" w:cs="宋体"/>
              </w:rPr>
              <w:t>套</w:t>
            </w:r>
          </w:p>
        </w:tc>
        <w:tc>
          <w:tcPr>
            <w:tcW w:w="395" w:type="pct"/>
            <w:vAlign w:val="center"/>
            <w:tcBorders>
              <w:top w:val="nil"/>
              <w:left w:val="nil"/>
              <w:bottom w:val="single" w:color="auto" w:sz="4" w:space="0"/>
              <w:right w:val="single" w:color="auto" w:sz="4" w:space="0"/>
            </w:tcBorders>
          </w:tcPr>
          <w:p w14:paraId="2DA2C094">
            <w:pPr>
              <w:widowControl w:val="1"/>
              <w:jc w:val="center"/>
              <w:rPr>
                <w:color w:val="auto"/>
                <w:sz w:val="22"/>
                <w:kern w:val="0"/>
                <w:rFonts w:ascii="宋体" w:hAnsi="宋体" w:eastAsia="宋体" w:cs="宋体"/>
              </w:rPr>
            </w:pPr>
            <w:r>
              <w:rPr>
                <w:color w:val="auto"/>
                <w:sz w:val="22"/>
                <w:kern w:val="0"/>
                <w:rFonts w:ascii="宋体" w:hAnsi="宋体" w:eastAsia="宋体" w:cs="宋体"/>
              </w:rPr>
              <w:t>4</w:t>
            </w:r>
          </w:p>
        </w:tc>
        <w:tc>
          <w:tcPr>
            <w:tcW w:w="973" w:type="pct"/>
            <w:vAlign w:val="center"/>
            <w:tcBorders>
              <w:top w:val="nil"/>
              <w:left w:val="nil"/>
              <w:bottom w:val="single" w:color="auto" w:sz="4" w:space="0"/>
              <w:right w:val="single" w:color="auto" w:sz="4" w:space="0"/>
            </w:tcBorders>
          </w:tcPr>
          <w:p w14:paraId="57C2C0B6">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60757F81">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5D77A6A1">
            <w:pPr>
              <w:widowControl w:val="1"/>
              <w:jc w:val="center"/>
              <w:rPr>
                <w:color w:val="auto"/>
                <w:sz w:val="22"/>
                <w:kern w:val="0"/>
                <w:rFonts w:ascii="宋体" w:hAnsi="宋体" w:eastAsia="宋体" w:cs="宋体"/>
              </w:rPr>
            </w:pPr>
            <w:r>
              <w:rPr>
                <w:color w:val="auto"/>
                <w:sz w:val="22"/>
                <w:kern w:val="0"/>
                <w:rFonts w:ascii="宋体" w:hAnsi="宋体" w:eastAsia="宋体" w:cs="宋体"/>
              </w:rPr>
              <w:t>(4)</w:t>
            </w:r>
          </w:p>
        </w:tc>
        <w:tc>
          <w:tcPr>
            <w:tcW w:w="1343" w:type="pct"/>
            <w:vAlign w:val="center"/>
            <w:tcBorders>
              <w:top w:val="nil"/>
              <w:left w:val="nil"/>
              <w:bottom w:val="single" w:color="auto" w:sz="4" w:space="0"/>
              <w:right w:val="single" w:color="auto" w:sz="4" w:space="0"/>
            </w:tcBorders>
          </w:tcPr>
          <w:p w14:paraId="524066F9">
            <w:pPr>
              <w:widowControl w:val="1"/>
              <w:jc w:val="center"/>
              <w:rPr>
                <w:color w:val="auto"/>
                <w:sz w:val="24"/>
                <w:kern w:val="0"/>
                <w:szCs w:val="24"/>
                <w:rFonts w:ascii="宋体" w:hAnsi="宋体" w:eastAsia="宋体" w:cs="宋体"/>
              </w:rPr>
            </w:pPr>
            <w:r>
              <w:rPr>
                <w:color w:val="auto"/>
                <w:sz w:val="24"/>
                <w:kern w:val="0"/>
                <w:szCs w:val="24"/>
                <w:rFonts w:ascii="宋体" w:hAnsi="宋体" w:eastAsia="宋体" w:cs="宋体"/>
              </w:rPr>
              <w:t>环境温湿度传感器</w:t>
            </w:r>
          </w:p>
        </w:tc>
        <w:tc>
          <w:tcPr>
            <w:tcW w:w="1646" w:type="pct"/>
            <w:vAlign w:val="center"/>
            <w:tcBorders>
              <w:top w:val="nil"/>
              <w:left w:val="nil"/>
              <w:bottom w:val="single" w:color="auto" w:sz="4" w:space="0"/>
              <w:right w:val="single" w:color="auto" w:sz="4" w:space="0"/>
            </w:tcBorders>
          </w:tcPr>
          <w:p w14:paraId="0BBB3B4C">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tcPr>
          <w:p w14:paraId="28DE881C">
            <w:pPr>
              <w:widowControl w:val="1"/>
              <w:jc w:val="center"/>
              <w:rPr>
                <w:color w:val="auto"/>
                <w:sz w:val="22"/>
                <w:kern w:val="0"/>
                <w:rFonts w:ascii="宋体" w:hAnsi="宋体" w:eastAsia="宋体" w:cs="宋体"/>
              </w:rPr>
            </w:pPr>
            <w:r>
              <w:rPr>
                <w:color w:val="auto"/>
                <w:sz w:val="22"/>
                <w:kern w:val="0"/>
                <w:rFonts w:ascii="宋体" w:hAnsi="宋体" w:eastAsia="宋体" w:cs="宋体"/>
              </w:rPr>
              <w:t>个</w:t>
            </w:r>
          </w:p>
        </w:tc>
        <w:tc>
          <w:tcPr>
            <w:tcW w:w="395" w:type="pct"/>
            <w:vAlign w:val="center"/>
            <w:tcBorders>
              <w:top w:val="nil"/>
              <w:left w:val="nil"/>
              <w:bottom w:val="single" w:color="auto" w:sz="4" w:space="0"/>
              <w:right w:val="single" w:color="auto" w:sz="4" w:space="0"/>
            </w:tcBorders>
          </w:tcPr>
          <w:p w14:paraId="7C18682B">
            <w:pPr>
              <w:widowControl w:val="1"/>
              <w:jc w:val="center"/>
              <w:rPr>
                <w:color w:val="auto"/>
                <w:sz w:val="22"/>
                <w:kern w:val="0"/>
                <w:rFonts w:ascii="宋体" w:hAnsi="宋体" w:eastAsia="宋体" w:cs="宋体"/>
              </w:rPr>
            </w:pPr>
            <w:r>
              <w:rPr>
                <w:color w:val="auto"/>
                <w:sz w:val="22"/>
                <w:kern w:val="0"/>
                <w:rFonts w:ascii="宋体" w:hAnsi="宋体" w:eastAsia="宋体" w:cs="宋体"/>
              </w:rPr>
              <w:t>2</w:t>
            </w:r>
          </w:p>
        </w:tc>
        <w:tc>
          <w:tcPr>
            <w:tcW w:w="973" w:type="pct"/>
            <w:vAlign w:val="center"/>
            <w:tcBorders>
              <w:top w:val="nil"/>
              <w:left w:val="nil"/>
              <w:bottom w:val="single" w:color="auto" w:sz="4" w:space="0"/>
              <w:right w:val="single" w:color="auto" w:sz="4" w:space="0"/>
            </w:tcBorders>
          </w:tcPr>
          <w:p w14:paraId="4F613D32">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52A98F06">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16A957A0">
            <w:pPr>
              <w:widowControl w:val="1"/>
              <w:jc w:val="center"/>
              <w:rPr>
                <w:color w:val="auto"/>
                <w:sz w:val="22"/>
                <w:kern w:val="0"/>
                <w:rFonts w:ascii="宋体" w:hAnsi="宋体" w:eastAsia="宋体" w:cs="宋体"/>
              </w:rPr>
            </w:pPr>
            <w:r>
              <w:rPr>
                <w:color w:val="auto"/>
                <w:sz w:val="22"/>
                <w:kern w:val="0"/>
                <w:rFonts w:ascii="宋体" w:hAnsi="宋体" w:eastAsia="宋体" w:cs="宋体"/>
              </w:rPr>
              <w:t>(5)</w:t>
            </w:r>
          </w:p>
        </w:tc>
        <w:tc>
          <w:tcPr>
            <w:tcW w:w="1343" w:type="pct"/>
            <w:vAlign w:val="center"/>
            <w:tcBorders>
              <w:top w:val="nil"/>
              <w:left w:val="nil"/>
              <w:bottom w:val="single" w:color="auto" w:sz="4" w:space="0"/>
              <w:right w:val="single" w:color="auto" w:sz="4" w:space="0"/>
            </w:tcBorders>
            <w:shd w:val="clear" w:color="000000" w:fill="FFFFFF"/>
          </w:tcPr>
          <w:p w14:paraId="79934DD8">
            <w:pPr>
              <w:widowControl w:val="1"/>
              <w:jc w:val="center"/>
              <w:rPr>
                <w:color w:val="auto"/>
                <w:sz w:val="22"/>
                <w:kern w:val="0"/>
                <w:rFonts w:ascii="宋体" w:hAnsi="宋体" w:eastAsia="宋体" w:cs="宋体"/>
              </w:rPr>
            </w:pPr>
            <w:r>
              <w:rPr>
                <w:color w:val="auto"/>
                <w:sz w:val="22"/>
                <w:kern w:val="0"/>
                <w:rFonts w:ascii="宋体" w:hAnsi="宋体" w:eastAsia="宋体" w:cs="宋体"/>
              </w:rPr>
              <w:t>施工调试费用</w:t>
            </w:r>
          </w:p>
        </w:tc>
        <w:tc>
          <w:tcPr>
            <w:tcW w:w="1646" w:type="pct"/>
            <w:vAlign w:val="center"/>
            <w:tcBorders>
              <w:top w:val="nil"/>
              <w:left w:val="nil"/>
              <w:bottom w:val="single" w:color="auto" w:sz="4" w:space="0"/>
              <w:right w:val="single" w:color="auto" w:sz="4" w:space="0"/>
            </w:tcBorders>
          </w:tcPr>
          <w:p w14:paraId="231E4491">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shd w:val="clear" w:color="000000" w:fill="FFFFFF"/>
          </w:tcPr>
          <w:p w14:paraId="5B393422">
            <w:pPr>
              <w:widowControl w:val="1"/>
              <w:jc w:val="center"/>
              <w:rPr>
                <w:color w:val="auto"/>
                <w:sz w:val="22"/>
                <w:kern w:val="0"/>
                <w:rFonts w:ascii="宋体" w:hAnsi="宋体" w:eastAsia="宋体" w:cs="宋体"/>
              </w:rPr>
            </w:pPr>
            <w:r>
              <w:rPr>
                <w:color w:val="auto"/>
                <w:sz w:val="22"/>
                <w:kern w:val="0"/>
                <w:rFonts w:ascii="宋体" w:hAnsi="宋体" w:eastAsia="宋体" w:cs="宋体"/>
              </w:rPr>
              <w:t>项</w:t>
            </w:r>
          </w:p>
        </w:tc>
        <w:tc>
          <w:tcPr>
            <w:tcW w:w="395" w:type="pct"/>
            <w:vAlign w:val="center"/>
            <w:tcBorders>
              <w:top w:val="nil"/>
              <w:left w:val="nil"/>
              <w:bottom w:val="single" w:color="auto" w:sz="4" w:space="0"/>
              <w:right w:val="single" w:color="auto" w:sz="4" w:space="0"/>
            </w:tcBorders>
            <w:shd w:val="clear" w:color="000000" w:fill="FFFFFF"/>
          </w:tcPr>
          <w:p w14:paraId="3C91E4CD">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973" w:type="pct"/>
            <w:vAlign w:val="center"/>
            <w:tcBorders>
              <w:top w:val="nil"/>
              <w:left w:val="nil"/>
              <w:bottom w:val="single" w:color="auto" w:sz="4" w:space="0"/>
              <w:right w:val="single" w:color="auto" w:sz="4" w:space="0"/>
            </w:tcBorders>
          </w:tcPr>
          <w:p w14:paraId="44036E41">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09480F4D">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32FF33E0">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5</w:t>
            </w:r>
          </w:p>
        </w:tc>
        <w:tc>
          <w:tcPr>
            <w:tcW w:w="3696" w:type="pct"/>
            <w:gridSpan w:val="4"/>
            <w:vAlign w:val="center"/>
            <w:tcBorders>
              <w:top w:val="single" w:color="auto" w:sz="4" w:space="0"/>
              <w:left w:val="nil"/>
              <w:bottom w:val="single" w:color="auto" w:sz="4" w:space="0"/>
              <w:right w:val="single" w:color="auto" w:sz="4" w:space="0"/>
            </w:tcBorders>
          </w:tcPr>
          <w:p w14:paraId="0375E03C">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火灾自动报警系统</w:t>
            </w:r>
          </w:p>
        </w:tc>
        <w:tc>
          <w:tcPr>
            <w:tcW w:w="973" w:type="pct"/>
            <w:vAlign w:val="bottom"/>
            <w:tcBorders>
              <w:top w:val="nil"/>
              <w:left w:val="nil"/>
              <w:bottom w:val="single" w:color="auto" w:sz="4" w:space="0"/>
              <w:right w:val="single" w:color="auto" w:sz="4" w:space="0"/>
            </w:tcBorders>
          </w:tcPr>
          <w:p w14:paraId="5C2818B0">
            <w:pPr>
              <w:widowControl w:val="1"/>
              <w:jc w:val="left"/>
              <w:rPr>
                <w:color w:val="auto"/>
                <w:sz w:val="22"/>
                <w:kern w:val="0"/>
                <w:rFonts w:ascii="等线" w:hAnsi="等线" w:eastAsia="等线" w:cs="宋体"/>
              </w:rPr>
            </w:pPr>
            <w:r>
              <w:rPr>
                <w:color w:val="auto"/>
                <w:sz w:val="22"/>
                <w:kern w:val="0"/>
                <w:rFonts w:ascii="等线" w:hAnsi="等线" w:eastAsia="等线" w:cs="宋体"/>
              </w:rPr>
              <w:t>　</w:t>
            </w:r>
          </w:p>
        </w:tc>
      </w:tr>
      <w:tr w14:paraId="19138F6F">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2C7FBE03">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1343" w:type="pct"/>
            <w:vAlign w:val="center"/>
            <w:tcBorders>
              <w:top w:val="nil"/>
              <w:left w:val="nil"/>
              <w:bottom w:val="single" w:color="auto" w:sz="4" w:space="0"/>
              <w:right w:val="single" w:color="auto" w:sz="4" w:space="0"/>
            </w:tcBorders>
          </w:tcPr>
          <w:p w14:paraId="3BA9460B">
            <w:pPr>
              <w:widowControl w:val="1"/>
              <w:jc w:val="center"/>
              <w:rPr>
                <w:color w:val="auto"/>
                <w:sz w:val="24"/>
                <w:kern w:val="0"/>
                <w:szCs w:val="24"/>
                <w:rFonts w:ascii="宋体" w:hAnsi="宋体" w:eastAsia="宋体" w:cs="宋体"/>
              </w:rPr>
            </w:pPr>
            <w:r>
              <w:rPr>
                <w:color w:val="auto"/>
                <w:sz w:val="24"/>
                <w:kern w:val="0"/>
                <w:szCs w:val="24"/>
                <w:rFonts w:ascii="宋体" w:hAnsi="宋体" w:eastAsia="宋体" w:cs="宋体"/>
              </w:rPr>
              <w:t>烟感探测器</w:t>
            </w:r>
          </w:p>
        </w:tc>
        <w:tc>
          <w:tcPr>
            <w:tcW w:w="1646" w:type="pct"/>
            <w:vAlign w:val="center"/>
            <w:tcBorders>
              <w:top w:val="nil"/>
              <w:left w:val="nil"/>
              <w:bottom w:val="single" w:color="auto" w:sz="4" w:space="0"/>
              <w:right w:val="single" w:color="auto" w:sz="4" w:space="0"/>
            </w:tcBorders>
          </w:tcPr>
          <w:p w14:paraId="67F0DC60">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tcPr>
          <w:p w14:paraId="1E433A8D">
            <w:pPr>
              <w:widowControl w:val="1"/>
              <w:jc w:val="center"/>
              <w:rPr>
                <w:color w:val="auto"/>
                <w:sz w:val="22"/>
                <w:kern w:val="0"/>
                <w:rFonts w:ascii="宋体" w:hAnsi="宋体" w:eastAsia="宋体" w:cs="宋体"/>
              </w:rPr>
            </w:pPr>
            <w:r>
              <w:rPr>
                <w:color w:val="auto"/>
                <w:sz w:val="22"/>
                <w:kern w:val="0"/>
                <w:rFonts w:ascii="宋体" w:hAnsi="宋体" w:eastAsia="宋体" w:cs="宋体"/>
              </w:rPr>
              <w:t>个</w:t>
            </w:r>
          </w:p>
        </w:tc>
        <w:tc>
          <w:tcPr>
            <w:tcW w:w="395" w:type="pct"/>
            <w:vAlign w:val="center"/>
            <w:tcBorders>
              <w:top w:val="nil"/>
              <w:left w:val="nil"/>
              <w:bottom w:val="single" w:color="auto" w:sz="4" w:space="0"/>
              <w:right w:val="single" w:color="auto" w:sz="4" w:space="0"/>
            </w:tcBorders>
          </w:tcPr>
          <w:p w14:paraId="1429E760">
            <w:pPr>
              <w:widowControl w:val="1"/>
              <w:jc w:val="center"/>
              <w:rPr>
                <w:color w:val="auto"/>
                <w:sz w:val="22"/>
                <w:kern w:val="0"/>
                <w:rFonts w:ascii="宋体" w:hAnsi="宋体" w:eastAsia="宋体" w:cs="宋体"/>
              </w:rPr>
            </w:pPr>
            <w:r>
              <w:rPr>
                <w:color w:val="auto"/>
                <w:sz w:val="22"/>
                <w:kern w:val="0"/>
                <w:rFonts w:ascii="宋体" w:hAnsi="宋体" w:eastAsia="宋体" w:cs="宋体"/>
              </w:rPr>
              <w:t>2</w:t>
            </w:r>
          </w:p>
        </w:tc>
        <w:tc>
          <w:tcPr>
            <w:tcW w:w="973" w:type="pct"/>
            <w:vAlign w:val="center"/>
            <w:tcBorders>
              <w:top w:val="nil"/>
              <w:left w:val="nil"/>
              <w:bottom w:val="single" w:color="auto" w:sz="4" w:space="0"/>
              <w:right w:val="single" w:color="auto" w:sz="4" w:space="0"/>
            </w:tcBorders>
          </w:tcPr>
          <w:p w14:paraId="269E118A">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7539895B">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1E7266EC">
            <w:pPr>
              <w:widowControl w:val="1"/>
              <w:jc w:val="center"/>
              <w:rPr>
                <w:color w:val="auto"/>
                <w:sz w:val="22"/>
                <w:kern w:val="0"/>
                <w:rFonts w:ascii="宋体" w:hAnsi="宋体" w:eastAsia="宋体" w:cs="宋体"/>
              </w:rPr>
            </w:pPr>
            <w:r>
              <w:rPr>
                <w:color w:val="auto"/>
                <w:sz w:val="22"/>
                <w:kern w:val="0"/>
                <w:rFonts w:ascii="宋体" w:hAnsi="宋体" w:eastAsia="宋体" w:cs="宋体"/>
              </w:rPr>
              <w:t>(2)</w:t>
            </w:r>
          </w:p>
        </w:tc>
        <w:tc>
          <w:tcPr>
            <w:tcW w:w="1343" w:type="pct"/>
            <w:vAlign w:val="center"/>
            <w:tcBorders>
              <w:top w:val="nil"/>
              <w:left w:val="nil"/>
              <w:bottom w:val="single" w:color="auto" w:sz="4" w:space="0"/>
              <w:right w:val="single" w:color="auto" w:sz="4" w:space="0"/>
            </w:tcBorders>
          </w:tcPr>
          <w:p w14:paraId="25E33E28">
            <w:pPr>
              <w:widowControl w:val="1"/>
              <w:jc w:val="center"/>
              <w:rPr>
                <w:color w:val="auto"/>
                <w:sz w:val="24"/>
                <w:kern w:val="0"/>
                <w:szCs w:val="24"/>
                <w:rFonts w:ascii="宋体" w:hAnsi="宋体" w:eastAsia="宋体" w:cs="宋体"/>
              </w:rPr>
            </w:pPr>
            <w:r>
              <w:rPr>
                <w:color w:val="auto"/>
                <w:sz w:val="24"/>
                <w:kern w:val="0"/>
                <w:szCs w:val="24"/>
                <w:rFonts w:ascii="宋体" w:hAnsi="宋体" w:eastAsia="宋体" w:cs="宋体"/>
              </w:rPr>
              <w:t>温感探测器</w:t>
            </w:r>
          </w:p>
        </w:tc>
        <w:tc>
          <w:tcPr>
            <w:tcW w:w="1646" w:type="pct"/>
            <w:vAlign w:val="center"/>
            <w:tcBorders>
              <w:top w:val="nil"/>
              <w:left w:val="nil"/>
              <w:bottom w:val="single" w:color="auto" w:sz="4" w:space="0"/>
              <w:right w:val="single" w:color="auto" w:sz="4" w:space="0"/>
            </w:tcBorders>
          </w:tcPr>
          <w:p w14:paraId="19D456E1">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tcPr>
          <w:p w14:paraId="0215C11F">
            <w:pPr>
              <w:widowControl w:val="1"/>
              <w:jc w:val="center"/>
              <w:rPr>
                <w:color w:val="auto"/>
                <w:sz w:val="22"/>
                <w:kern w:val="0"/>
                <w:rFonts w:ascii="宋体" w:hAnsi="宋体" w:eastAsia="宋体" w:cs="宋体"/>
              </w:rPr>
            </w:pPr>
            <w:r>
              <w:rPr>
                <w:color w:val="auto"/>
                <w:sz w:val="22"/>
                <w:kern w:val="0"/>
                <w:rFonts w:ascii="宋体" w:hAnsi="宋体" w:eastAsia="宋体" w:cs="宋体"/>
              </w:rPr>
              <w:t>个</w:t>
            </w:r>
          </w:p>
        </w:tc>
        <w:tc>
          <w:tcPr>
            <w:tcW w:w="395" w:type="pct"/>
            <w:vAlign w:val="center"/>
            <w:tcBorders>
              <w:top w:val="nil"/>
              <w:left w:val="nil"/>
              <w:bottom w:val="single" w:color="auto" w:sz="4" w:space="0"/>
              <w:right w:val="single" w:color="auto" w:sz="4" w:space="0"/>
            </w:tcBorders>
          </w:tcPr>
          <w:p w14:paraId="179E6B66">
            <w:pPr>
              <w:widowControl w:val="1"/>
              <w:jc w:val="center"/>
              <w:rPr>
                <w:color w:val="auto"/>
                <w:sz w:val="22"/>
                <w:kern w:val="0"/>
                <w:rFonts w:ascii="宋体" w:hAnsi="宋体" w:eastAsia="宋体" w:cs="宋体"/>
              </w:rPr>
            </w:pPr>
            <w:r>
              <w:rPr>
                <w:color w:val="auto"/>
                <w:sz w:val="22"/>
                <w:kern w:val="0"/>
                <w:rFonts w:ascii="宋体" w:hAnsi="宋体" w:eastAsia="宋体" w:cs="宋体"/>
              </w:rPr>
              <w:t>2</w:t>
            </w:r>
          </w:p>
        </w:tc>
        <w:tc>
          <w:tcPr>
            <w:tcW w:w="973" w:type="pct"/>
            <w:vAlign w:val="center"/>
            <w:tcBorders>
              <w:top w:val="nil"/>
              <w:left w:val="nil"/>
              <w:bottom w:val="single" w:color="auto" w:sz="4" w:space="0"/>
              <w:right w:val="single" w:color="auto" w:sz="4" w:space="0"/>
            </w:tcBorders>
          </w:tcPr>
          <w:p w14:paraId="338AF72F">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35FB72A8">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3B576C9B">
            <w:pPr>
              <w:widowControl w:val="1"/>
              <w:jc w:val="center"/>
              <w:rPr>
                <w:color w:val="auto"/>
                <w:sz w:val="22"/>
                <w:kern w:val="0"/>
                <w:rFonts w:ascii="宋体" w:hAnsi="宋体" w:eastAsia="宋体" w:cs="宋体"/>
              </w:rPr>
            </w:pPr>
            <w:r>
              <w:rPr>
                <w:color w:val="auto"/>
                <w:sz w:val="22"/>
                <w:kern w:val="0"/>
                <w:rFonts w:ascii="宋体" w:hAnsi="宋体" w:eastAsia="宋体" w:cs="宋体"/>
              </w:rPr>
              <w:t>(3)</w:t>
            </w:r>
          </w:p>
        </w:tc>
        <w:tc>
          <w:tcPr>
            <w:tcW w:w="1343" w:type="pct"/>
            <w:vAlign w:val="center"/>
            <w:tcBorders>
              <w:top w:val="nil"/>
              <w:left w:val="nil"/>
              <w:bottom w:val="single" w:color="auto" w:sz="4" w:space="0"/>
              <w:right w:val="single" w:color="auto" w:sz="4" w:space="0"/>
            </w:tcBorders>
          </w:tcPr>
          <w:p w14:paraId="23EE5C96">
            <w:pPr>
              <w:widowControl w:val="1"/>
              <w:jc w:val="center"/>
              <w:rPr>
                <w:color w:val="auto"/>
                <w:sz w:val="24"/>
                <w:kern w:val="0"/>
                <w:szCs w:val="24"/>
                <w:rFonts w:ascii="宋体" w:hAnsi="宋体" w:eastAsia="宋体" w:cs="宋体"/>
              </w:rPr>
            </w:pPr>
            <w:r>
              <w:rPr>
                <w:color w:val="auto"/>
                <w:sz w:val="24"/>
                <w:kern w:val="0"/>
                <w:szCs w:val="24"/>
                <w:rFonts w:ascii="宋体" w:hAnsi="宋体" w:eastAsia="宋体" w:cs="宋体"/>
              </w:rPr>
              <w:t>手动报警按钮</w:t>
            </w:r>
          </w:p>
        </w:tc>
        <w:tc>
          <w:tcPr>
            <w:tcW w:w="1646" w:type="pct"/>
            <w:vAlign w:val="center"/>
            <w:tcBorders>
              <w:top w:val="nil"/>
              <w:left w:val="nil"/>
              <w:bottom w:val="single" w:color="auto" w:sz="4" w:space="0"/>
              <w:right w:val="single" w:color="auto" w:sz="4" w:space="0"/>
            </w:tcBorders>
          </w:tcPr>
          <w:p w14:paraId="0A62BE03">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tcPr>
          <w:p w14:paraId="09203290">
            <w:pPr>
              <w:widowControl w:val="1"/>
              <w:jc w:val="center"/>
              <w:rPr>
                <w:color w:val="auto"/>
                <w:sz w:val="22"/>
                <w:kern w:val="0"/>
                <w:rFonts w:ascii="宋体" w:hAnsi="宋体" w:eastAsia="宋体" w:cs="宋体"/>
              </w:rPr>
            </w:pPr>
            <w:r>
              <w:rPr>
                <w:color w:val="auto"/>
                <w:sz w:val="22"/>
                <w:kern w:val="0"/>
                <w:rFonts w:ascii="宋体" w:hAnsi="宋体" w:eastAsia="宋体" w:cs="宋体"/>
              </w:rPr>
              <w:t>个</w:t>
            </w:r>
          </w:p>
        </w:tc>
        <w:tc>
          <w:tcPr>
            <w:tcW w:w="395" w:type="pct"/>
            <w:vAlign w:val="center"/>
            <w:tcBorders>
              <w:top w:val="nil"/>
              <w:left w:val="nil"/>
              <w:bottom w:val="single" w:color="auto" w:sz="4" w:space="0"/>
              <w:right w:val="single" w:color="auto" w:sz="4" w:space="0"/>
            </w:tcBorders>
          </w:tcPr>
          <w:p w14:paraId="33407E01">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973" w:type="pct"/>
            <w:vAlign w:val="center"/>
            <w:tcBorders>
              <w:top w:val="nil"/>
              <w:left w:val="nil"/>
              <w:bottom w:val="single" w:color="auto" w:sz="4" w:space="0"/>
              <w:right w:val="single" w:color="auto" w:sz="4" w:space="0"/>
            </w:tcBorders>
          </w:tcPr>
          <w:p w14:paraId="4C2EAEF9">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0249E5C0">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0A6A559A">
            <w:pPr>
              <w:widowControl w:val="1"/>
              <w:jc w:val="center"/>
              <w:rPr>
                <w:color w:val="auto"/>
                <w:sz w:val="22"/>
                <w:kern w:val="0"/>
                <w:rFonts w:ascii="宋体" w:hAnsi="宋体" w:eastAsia="宋体" w:cs="宋体"/>
              </w:rPr>
            </w:pPr>
            <w:r>
              <w:rPr>
                <w:color w:val="auto"/>
                <w:sz w:val="22"/>
                <w:kern w:val="0"/>
                <w:rFonts w:ascii="宋体" w:hAnsi="宋体" w:eastAsia="宋体" w:cs="宋体"/>
              </w:rPr>
              <w:t>(4)</w:t>
            </w:r>
          </w:p>
        </w:tc>
        <w:tc>
          <w:tcPr>
            <w:tcW w:w="1343" w:type="pct"/>
            <w:vAlign w:val="center"/>
            <w:tcBorders>
              <w:top w:val="nil"/>
              <w:left w:val="nil"/>
              <w:bottom w:val="single" w:color="auto" w:sz="4" w:space="0"/>
              <w:right w:val="single" w:color="auto" w:sz="4" w:space="0"/>
            </w:tcBorders>
          </w:tcPr>
          <w:p w14:paraId="2C629BC2">
            <w:pPr>
              <w:widowControl w:val="1"/>
              <w:jc w:val="center"/>
              <w:rPr>
                <w:color w:val="auto"/>
                <w:sz w:val="24"/>
                <w:kern w:val="0"/>
                <w:szCs w:val="24"/>
                <w:rFonts w:ascii="宋体" w:hAnsi="宋体" w:eastAsia="宋体" w:cs="宋体"/>
              </w:rPr>
            </w:pPr>
            <w:r>
              <w:rPr>
                <w:color w:val="auto"/>
                <w:sz w:val="24"/>
                <w:kern w:val="0"/>
                <w:szCs w:val="24"/>
                <w:rFonts w:ascii="宋体" w:hAnsi="宋体" w:eastAsia="宋体" w:cs="宋体"/>
              </w:rPr>
              <w:t>声光报警器</w:t>
            </w:r>
          </w:p>
        </w:tc>
        <w:tc>
          <w:tcPr>
            <w:tcW w:w="1646" w:type="pct"/>
            <w:vAlign w:val="center"/>
            <w:tcBorders>
              <w:top w:val="nil"/>
              <w:left w:val="nil"/>
              <w:bottom w:val="single" w:color="auto" w:sz="4" w:space="0"/>
              <w:right w:val="single" w:color="auto" w:sz="4" w:space="0"/>
            </w:tcBorders>
          </w:tcPr>
          <w:p w14:paraId="5DFE3EC3">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tcPr>
          <w:p w14:paraId="7DBA9E25">
            <w:pPr>
              <w:widowControl w:val="1"/>
              <w:jc w:val="center"/>
              <w:rPr>
                <w:color w:val="auto"/>
                <w:sz w:val="22"/>
                <w:kern w:val="0"/>
                <w:rFonts w:ascii="宋体" w:hAnsi="宋体" w:eastAsia="宋体" w:cs="宋体"/>
              </w:rPr>
            </w:pPr>
            <w:r>
              <w:rPr>
                <w:color w:val="auto"/>
                <w:sz w:val="22"/>
                <w:kern w:val="0"/>
                <w:rFonts w:ascii="宋体" w:hAnsi="宋体" w:eastAsia="宋体" w:cs="宋体"/>
              </w:rPr>
              <w:t>个</w:t>
            </w:r>
          </w:p>
        </w:tc>
        <w:tc>
          <w:tcPr>
            <w:tcW w:w="395" w:type="pct"/>
            <w:vAlign w:val="center"/>
            <w:tcBorders>
              <w:top w:val="nil"/>
              <w:left w:val="nil"/>
              <w:bottom w:val="single" w:color="auto" w:sz="4" w:space="0"/>
              <w:right w:val="single" w:color="auto" w:sz="4" w:space="0"/>
            </w:tcBorders>
          </w:tcPr>
          <w:p w14:paraId="7B51F370">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973" w:type="pct"/>
            <w:vAlign w:val="center"/>
            <w:tcBorders>
              <w:top w:val="nil"/>
              <w:left w:val="nil"/>
              <w:bottom w:val="single" w:color="auto" w:sz="4" w:space="0"/>
              <w:right w:val="single" w:color="auto" w:sz="4" w:space="0"/>
            </w:tcBorders>
          </w:tcPr>
          <w:p w14:paraId="11F51596">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1A5C4EA8">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67FFAA73">
            <w:pPr>
              <w:widowControl w:val="1"/>
              <w:jc w:val="center"/>
              <w:rPr>
                <w:color w:val="auto"/>
                <w:sz w:val="22"/>
                <w:kern w:val="0"/>
                <w:rFonts w:ascii="宋体" w:hAnsi="宋体" w:eastAsia="宋体" w:cs="宋体"/>
              </w:rPr>
            </w:pPr>
            <w:r>
              <w:rPr>
                <w:color w:val="auto"/>
                <w:sz w:val="22"/>
                <w:kern w:val="0"/>
                <w:rFonts w:ascii="宋体" w:hAnsi="宋体" w:eastAsia="宋体" w:cs="宋体"/>
              </w:rPr>
              <w:t>(5)</w:t>
            </w:r>
          </w:p>
        </w:tc>
        <w:tc>
          <w:tcPr>
            <w:tcW w:w="1343" w:type="pct"/>
            <w:vAlign w:val="center"/>
            <w:tcBorders>
              <w:top w:val="nil"/>
              <w:left w:val="nil"/>
              <w:bottom w:val="single" w:color="auto" w:sz="4" w:space="0"/>
              <w:right w:val="single" w:color="auto" w:sz="4" w:space="0"/>
            </w:tcBorders>
          </w:tcPr>
          <w:p w14:paraId="563AE45B">
            <w:pPr>
              <w:widowControl w:val="1"/>
              <w:jc w:val="center"/>
              <w:rPr>
                <w:color w:val="auto"/>
                <w:sz w:val="24"/>
                <w:kern w:val="0"/>
                <w:szCs w:val="24"/>
                <w:rFonts w:ascii="宋体" w:hAnsi="宋体" w:eastAsia="宋体" w:cs="宋体"/>
              </w:rPr>
            </w:pPr>
            <w:r>
              <w:rPr>
                <w:color w:val="auto"/>
                <w:sz w:val="24"/>
                <w:kern w:val="0"/>
                <w:szCs w:val="24"/>
                <w:rFonts w:ascii="宋体" w:hAnsi="宋体" w:eastAsia="宋体" w:cs="宋体"/>
              </w:rPr>
              <w:t>消防报警主机</w:t>
            </w:r>
          </w:p>
        </w:tc>
        <w:tc>
          <w:tcPr>
            <w:tcW w:w="1646" w:type="pct"/>
            <w:vAlign w:val="center"/>
            <w:tcBorders>
              <w:top w:val="nil"/>
              <w:left w:val="nil"/>
              <w:bottom w:val="single" w:color="auto" w:sz="4" w:space="0"/>
              <w:right w:val="single" w:color="auto" w:sz="4" w:space="0"/>
            </w:tcBorders>
          </w:tcPr>
          <w:p w14:paraId="2C575B17">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tcPr>
          <w:p w14:paraId="2E4E47A4">
            <w:pPr>
              <w:widowControl w:val="1"/>
              <w:jc w:val="center"/>
              <w:rPr>
                <w:color w:val="auto"/>
                <w:sz w:val="22"/>
                <w:kern w:val="0"/>
                <w:rFonts w:ascii="宋体" w:hAnsi="宋体" w:eastAsia="宋体" w:cs="宋体"/>
              </w:rPr>
            </w:pPr>
            <w:r>
              <w:rPr>
                <w:color w:val="auto"/>
                <w:sz w:val="22"/>
                <w:kern w:val="0"/>
                <w:rFonts w:ascii="宋体" w:hAnsi="宋体" w:eastAsia="宋体" w:cs="宋体"/>
              </w:rPr>
              <w:t>个</w:t>
            </w:r>
          </w:p>
        </w:tc>
        <w:tc>
          <w:tcPr>
            <w:tcW w:w="395" w:type="pct"/>
            <w:vAlign w:val="center"/>
            <w:tcBorders>
              <w:top w:val="nil"/>
              <w:left w:val="nil"/>
              <w:bottom w:val="single" w:color="auto" w:sz="4" w:space="0"/>
              <w:right w:val="single" w:color="auto" w:sz="4" w:space="0"/>
            </w:tcBorders>
          </w:tcPr>
          <w:p w14:paraId="0C1F2098">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973" w:type="pct"/>
            <w:vAlign w:val="center"/>
            <w:tcBorders>
              <w:top w:val="nil"/>
              <w:left w:val="nil"/>
              <w:bottom w:val="single" w:color="auto" w:sz="4" w:space="0"/>
              <w:right w:val="single" w:color="auto" w:sz="4" w:space="0"/>
            </w:tcBorders>
          </w:tcPr>
          <w:p w14:paraId="21321BAC">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27AD69BE">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62424D35">
            <w:pPr>
              <w:widowControl w:val="1"/>
              <w:jc w:val="center"/>
              <w:rPr>
                <w:color w:val="auto"/>
                <w:sz w:val="22"/>
                <w:kern w:val="0"/>
                <w:rFonts w:ascii="宋体" w:hAnsi="宋体" w:eastAsia="宋体" w:cs="宋体"/>
              </w:rPr>
            </w:pPr>
            <w:r>
              <w:rPr>
                <w:color w:val="auto"/>
                <w:sz w:val="22"/>
                <w:kern w:val="0"/>
                <w:rFonts w:ascii="宋体" w:hAnsi="宋体" w:eastAsia="宋体" w:cs="宋体"/>
              </w:rPr>
              <w:t>(6)</w:t>
            </w:r>
          </w:p>
        </w:tc>
        <w:tc>
          <w:tcPr>
            <w:tcW w:w="1343" w:type="pct"/>
            <w:vAlign w:val="center"/>
            <w:tcBorders>
              <w:top w:val="nil"/>
              <w:left w:val="nil"/>
              <w:bottom w:val="single" w:color="auto" w:sz="4" w:space="0"/>
              <w:right w:val="single" w:color="auto" w:sz="4" w:space="0"/>
            </w:tcBorders>
            <w:shd w:val="clear" w:color="000000" w:fill="FFFFFF"/>
          </w:tcPr>
          <w:p w14:paraId="2498E3B7">
            <w:pPr>
              <w:widowControl w:val="1"/>
              <w:jc w:val="center"/>
              <w:rPr>
                <w:color w:val="auto"/>
                <w:sz w:val="22"/>
                <w:kern w:val="0"/>
                <w:rFonts w:ascii="宋体" w:hAnsi="宋体" w:eastAsia="宋体" w:cs="宋体"/>
              </w:rPr>
            </w:pPr>
            <w:r>
              <w:rPr>
                <w:color w:val="auto"/>
                <w:sz w:val="22"/>
                <w:kern w:val="0"/>
                <w:rFonts w:ascii="宋体" w:hAnsi="宋体" w:eastAsia="宋体" w:cs="宋体"/>
              </w:rPr>
              <w:t>施工调试费用</w:t>
            </w:r>
          </w:p>
        </w:tc>
        <w:tc>
          <w:tcPr>
            <w:tcW w:w="1646" w:type="pct"/>
            <w:vAlign w:val="center"/>
            <w:tcBorders>
              <w:top w:val="nil"/>
              <w:left w:val="nil"/>
              <w:bottom w:val="single" w:color="auto" w:sz="4" w:space="0"/>
              <w:right w:val="single" w:color="auto" w:sz="4" w:space="0"/>
            </w:tcBorders>
          </w:tcPr>
          <w:p w14:paraId="1864A7D1">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shd w:val="clear" w:color="000000" w:fill="FFFFFF"/>
          </w:tcPr>
          <w:p w14:paraId="6886C993">
            <w:pPr>
              <w:widowControl w:val="1"/>
              <w:jc w:val="center"/>
              <w:rPr>
                <w:color w:val="auto"/>
                <w:sz w:val="22"/>
                <w:kern w:val="0"/>
                <w:rFonts w:ascii="宋体" w:hAnsi="宋体" w:eastAsia="宋体" w:cs="宋体"/>
              </w:rPr>
            </w:pPr>
            <w:r>
              <w:rPr>
                <w:color w:val="auto"/>
                <w:sz w:val="22"/>
                <w:kern w:val="0"/>
                <w:rFonts w:ascii="宋体" w:hAnsi="宋体" w:eastAsia="宋体" w:cs="宋体"/>
              </w:rPr>
              <w:t>项</w:t>
            </w:r>
          </w:p>
        </w:tc>
        <w:tc>
          <w:tcPr>
            <w:tcW w:w="395" w:type="pct"/>
            <w:vAlign w:val="center"/>
            <w:tcBorders>
              <w:top w:val="nil"/>
              <w:left w:val="nil"/>
              <w:bottom w:val="single" w:color="auto" w:sz="4" w:space="0"/>
              <w:right w:val="single" w:color="auto" w:sz="4" w:space="0"/>
            </w:tcBorders>
            <w:shd w:val="clear" w:color="000000" w:fill="FFFFFF"/>
          </w:tcPr>
          <w:p w14:paraId="15F005A4">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973" w:type="pct"/>
            <w:vAlign w:val="center"/>
            <w:tcBorders>
              <w:top w:val="nil"/>
              <w:left w:val="nil"/>
              <w:bottom w:val="single" w:color="auto" w:sz="4" w:space="0"/>
              <w:right w:val="single" w:color="auto" w:sz="4" w:space="0"/>
            </w:tcBorders>
          </w:tcPr>
          <w:p w14:paraId="34151402">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2517AED2">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437041D7">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6</w:t>
            </w:r>
          </w:p>
        </w:tc>
        <w:tc>
          <w:tcPr>
            <w:tcW w:w="3696" w:type="pct"/>
            <w:gridSpan w:val="4"/>
            <w:vAlign w:val="center"/>
            <w:tcBorders>
              <w:top w:val="single" w:color="auto" w:sz="4" w:space="0"/>
              <w:left w:val="nil"/>
              <w:bottom w:val="single" w:color="auto" w:sz="4" w:space="0"/>
              <w:right w:val="single" w:color="auto" w:sz="4" w:space="0"/>
            </w:tcBorders>
          </w:tcPr>
          <w:p w14:paraId="449AAC3F">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水浸系统</w:t>
            </w:r>
          </w:p>
        </w:tc>
        <w:tc>
          <w:tcPr>
            <w:tcW w:w="973" w:type="pct"/>
            <w:vAlign w:val="bottom"/>
            <w:tcBorders>
              <w:top w:val="nil"/>
              <w:left w:val="nil"/>
              <w:bottom w:val="single" w:color="auto" w:sz="4" w:space="0"/>
              <w:right w:val="single" w:color="auto" w:sz="4" w:space="0"/>
            </w:tcBorders>
          </w:tcPr>
          <w:p w14:paraId="7CCED03D">
            <w:pPr>
              <w:widowControl w:val="1"/>
              <w:jc w:val="left"/>
              <w:rPr>
                <w:color w:val="auto"/>
                <w:sz w:val="22"/>
                <w:kern w:val="0"/>
                <w:rFonts w:ascii="等线" w:hAnsi="等线" w:eastAsia="等线" w:cs="宋体"/>
              </w:rPr>
            </w:pPr>
            <w:r>
              <w:rPr>
                <w:color w:val="auto"/>
                <w:sz w:val="22"/>
                <w:kern w:val="0"/>
                <w:rFonts w:ascii="等线" w:hAnsi="等线" w:eastAsia="等线" w:cs="宋体"/>
              </w:rPr>
              <w:t>　</w:t>
            </w:r>
          </w:p>
        </w:tc>
      </w:tr>
      <w:tr w14:paraId="14E97FD4">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189A6F1B">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1343" w:type="pct"/>
            <w:vAlign w:val="center"/>
            <w:tcBorders>
              <w:top w:val="nil"/>
              <w:left w:val="nil"/>
              <w:bottom w:val="single" w:color="auto" w:sz="4" w:space="0"/>
              <w:right w:val="single" w:color="auto" w:sz="4" w:space="0"/>
            </w:tcBorders>
          </w:tcPr>
          <w:p w14:paraId="77A516DA">
            <w:pPr>
              <w:widowControl w:val="1"/>
              <w:jc w:val="center"/>
              <w:rPr>
                <w:color w:val="auto"/>
                <w:sz w:val="22"/>
                <w:kern w:val="0"/>
                <w:rFonts w:ascii="宋体" w:hAnsi="宋体" w:eastAsia="宋体" w:cs="宋体"/>
              </w:rPr>
            </w:pPr>
            <w:r>
              <w:rPr>
                <w:color w:val="auto"/>
                <w:sz w:val="22"/>
                <w:kern w:val="0"/>
                <w:rFonts w:ascii="宋体" w:hAnsi="宋体" w:eastAsia="宋体" w:cs="宋体"/>
              </w:rPr>
              <w:t>漏水感应绳</w:t>
            </w:r>
          </w:p>
        </w:tc>
        <w:tc>
          <w:tcPr>
            <w:tcW w:w="1646" w:type="pct"/>
            <w:vAlign w:val="center"/>
            <w:tcBorders>
              <w:top w:val="nil"/>
              <w:left w:val="nil"/>
              <w:bottom w:val="single" w:color="auto" w:sz="4" w:space="0"/>
              <w:right w:val="single" w:color="auto" w:sz="4" w:space="0"/>
            </w:tcBorders>
          </w:tcPr>
          <w:p w14:paraId="136AA44E">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tcPr>
          <w:p w14:paraId="7D2E0898">
            <w:pPr>
              <w:widowControl w:val="1"/>
              <w:jc w:val="center"/>
              <w:rPr>
                <w:color w:val="auto"/>
                <w:sz w:val="22"/>
                <w:kern w:val="0"/>
                <w:rFonts w:ascii="宋体" w:hAnsi="宋体" w:eastAsia="宋体" w:cs="宋体"/>
              </w:rPr>
            </w:pPr>
            <w:r>
              <w:rPr>
                <w:color w:val="auto"/>
                <w:sz w:val="22"/>
                <w:kern w:val="0"/>
                <w:rFonts w:ascii="宋体" w:hAnsi="宋体" w:eastAsia="宋体" w:cs="宋体"/>
              </w:rPr>
              <w:t>米</w:t>
            </w:r>
          </w:p>
        </w:tc>
        <w:tc>
          <w:tcPr>
            <w:tcW w:w="395" w:type="pct"/>
            <w:vAlign w:val="center"/>
            <w:tcBorders>
              <w:top w:val="nil"/>
              <w:left w:val="nil"/>
              <w:bottom w:val="single" w:color="auto" w:sz="4" w:space="0"/>
              <w:right w:val="single" w:color="auto" w:sz="4" w:space="0"/>
            </w:tcBorders>
          </w:tcPr>
          <w:p w14:paraId="6A0C9B43">
            <w:pPr>
              <w:widowControl w:val="1"/>
              <w:jc w:val="center"/>
              <w:rPr>
                <w:color w:val="auto"/>
                <w:sz w:val="22"/>
                <w:kern w:val="0"/>
                <w:rFonts w:ascii="宋体" w:hAnsi="宋体" w:eastAsia="宋体" w:cs="宋体"/>
              </w:rPr>
            </w:pPr>
            <w:r>
              <w:rPr>
                <w:color w:val="auto"/>
                <w:sz w:val="22"/>
                <w:kern w:val="0"/>
                <w:rFonts w:ascii="宋体" w:hAnsi="宋体" w:eastAsia="宋体" w:cs="宋体"/>
              </w:rPr>
              <w:t>50</w:t>
            </w:r>
          </w:p>
        </w:tc>
        <w:tc>
          <w:tcPr>
            <w:tcW w:w="973" w:type="pct"/>
            <w:vAlign w:val="center"/>
            <w:tcBorders>
              <w:top w:val="nil"/>
              <w:left w:val="nil"/>
              <w:bottom w:val="single" w:color="auto" w:sz="4" w:space="0"/>
              <w:right w:val="single" w:color="auto" w:sz="4" w:space="0"/>
            </w:tcBorders>
          </w:tcPr>
          <w:p w14:paraId="00AD56D9">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7C272876">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5CD995F2">
            <w:pPr>
              <w:widowControl w:val="1"/>
              <w:jc w:val="center"/>
              <w:rPr>
                <w:color w:val="auto"/>
                <w:sz w:val="22"/>
                <w:kern w:val="0"/>
                <w:rFonts w:ascii="宋体" w:hAnsi="宋体" w:eastAsia="宋体" w:cs="宋体"/>
              </w:rPr>
            </w:pPr>
            <w:r>
              <w:rPr>
                <w:color w:val="auto"/>
                <w:sz w:val="22"/>
                <w:kern w:val="0"/>
                <w:rFonts w:ascii="宋体" w:hAnsi="宋体" w:eastAsia="宋体" w:cs="宋体"/>
              </w:rPr>
              <w:t>(2)</w:t>
            </w:r>
          </w:p>
        </w:tc>
        <w:tc>
          <w:tcPr>
            <w:tcW w:w="1343" w:type="pct"/>
            <w:vAlign w:val="center"/>
            <w:tcBorders>
              <w:top w:val="nil"/>
              <w:left w:val="nil"/>
              <w:bottom w:val="single" w:color="auto" w:sz="4" w:space="0"/>
              <w:right w:val="single" w:color="auto" w:sz="4" w:space="0"/>
            </w:tcBorders>
          </w:tcPr>
          <w:p w14:paraId="225A5785">
            <w:pPr>
              <w:widowControl w:val="1"/>
              <w:jc w:val="center"/>
              <w:rPr>
                <w:color w:val="auto"/>
                <w:sz w:val="22"/>
                <w:kern w:val="0"/>
                <w:rFonts w:ascii="宋体" w:hAnsi="宋体" w:eastAsia="宋体" w:cs="宋体"/>
              </w:rPr>
            </w:pPr>
            <w:r>
              <w:rPr>
                <w:color w:val="auto"/>
                <w:sz w:val="22"/>
                <w:kern w:val="0"/>
                <w:rFonts w:ascii="宋体" w:hAnsi="宋体" w:eastAsia="宋体" w:cs="宋体"/>
              </w:rPr>
              <w:t>水浸传感器</w:t>
            </w:r>
          </w:p>
        </w:tc>
        <w:tc>
          <w:tcPr>
            <w:tcW w:w="1646" w:type="pct"/>
            <w:vAlign w:val="center"/>
            <w:tcBorders>
              <w:top w:val="nil"/>
              <w:left w:val="nil"/>
              <w:bottom w:val="single" w:color="auto" w:sz="4" w:space="0"/>
              <w:right w:val="single" w:color="auto" w:sz="4" w:space="0"/>
            </w:tcBorders>
          </w:tcPr>
          <w:p w14:paraId="7EDC4900">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tcPr>
          <w:p w14:paraId="63E99456">
            <w:pPr>
              <w:widowControl w:val="1"/>
              <w:jc w:val="center"/>
              <w:rPr>
                <w:color w:val="auto"/>
                <w:sz w:val="22"/>
                <w:kern w:val="0"/>
                <w:rFonts w:ascii="宋体" w:hAnsi="宋体" w:eastAsia="宋体" w:cs="宋体"/>
              </w:rPr>
            </w:pPr>
            <w:r>
              <w:rPr>
                <w:color w:val="auto"/>
                <w:sz w:val="22"/>
                <w:kern w:val="0"/>
                <w:rFonts w:ascii="宋体" w:hAnsi="宋体" w:eastAsia="宋体" w:cs="宋体"/>
              </w:rPr>
              <w:t>套</w:t>
            </w:r>
          </w:p>
        </w:tc>
        <w:tc>
          <w:tcPr>
            <w:tcW w:w="395" w:type="pct"/>
            <w:vAlign w:val="center"/>
            <w:tcBorders>
              <w:top w:val="nil"/>
              <w:left w:val="nil"/>
              <w:bottom w:val="single" w:color="auto" w:sz="4" w:space="0"/>
              <w:right w:val="single" w:color="auto" w:sz="4" w:space="0"/>
            </w:tcBorders>
          </w:tcPr>
          <w:p w14:paraId="12EC9384">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973" w:type="pct"/>
            <w:vAlign w:val="center"/>
            <w:tcBorders>
              <w:top w:val="nil"/>
              <w:left w:val="nil"/>
              <w:bottom w:val="single" w:color="auto" w:sz="4" w:space="0"/>
              <w:right w:val="single" w:color="auto" w:sz="4" w:space="0"/>
            </w:tcBorders>
          </w:tcPr>
          <w:p w14:paraId="18E3F47D">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66E7D6C4">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05483AE5">
            <w:pPr>
              <w:widowControl w:val="1"/>
              <w:jc w:val="center"/>
              <w:rPr>
                <w:color w:val="auto"/>
                <w:sz w:val="22"/>
                <w:kern w:val="0"/>
                <w:rFonts w:ascii="宋体" w:hAnsi="宋体" w:eastAsia="宋体" w:cs="宋体"/>
              </w:rPr>
            </w:pPr>
            <w:r>
              <w:rPr>
                <w:color w:val="auto"/>
                <w:sz w:val="22"/>
                <w:kern w:val="0"/>
                <w:rFonts w:ascii="宋体" w:hAnsi="宋体" w:eastAsia="宋体" w:cs="宋体"/>
              </w:rPr>
              <w:t>(3)</w:t>
            </w:r>
          </w:p>
        </w:tc>
        <w:tc>
          <w:tcPr>
            <w:tcW w:w="1343" w:type="pct"/>
            <w:vAlign w:val="center"/>
            <w:tcBorders>
              <w:top w:val="nil"/>
              <w:left w:val="nil"/>
              <w:bottom w:val="single" w:color="auto" w:sz="4" w:space="0"/>
              <w:right w:val="single" w:color="auto" w:sz="4" w:space="0"/>
            </w:tcBorders>
            <w:shd w:val="clear" w:color="000000" w:fill="FFFFFF"/>
          </w:tcPr>
          <w:p w14:paraId="3F0818C4">
            <w:pPr>
              <w:widowControl w:val="1"/>
              <w:jc w:val="center"/>
              <w:rPr>
                <w:color w:val="auto"/>
                <w:sz w:val="22"/>
                <w:kern w:val="0"/>
                <w:rFonts w:ascii="宋体" w:hAnsi="宋体" w:eastAsia="宋体" w:cs="宋体"/>
              </w:rPr>
            </w:pPr>
            <w:r>
              <w:rPr>
                <w:color w:val="auto"/>
                <w:sz w:val="22"/>
                <w:kern w:val="0"/>
                <w:rFonts w:ascii="宋体" w:hAnsi="宋体" w:eastAsia="宋体" w:cs="宋体"/>
              </w:rPr>
              <w:t>施工调试费用</w:t>
            </w:r>
          </w:p>
        </w:tc>
        <w:tc>
          <w:tcPr>
            <w:tcW w:w="1646" w:type="pct"/>
            <w:vAlign w:val="center"/>
            <w:tcBorders>
              <w:top w:val="nil"/>
              <w:left w:val="nil"/>
              <w:bottom w:val="single" w:color="auto" w:sz="4" w:space="0"/>
              <w:right w:val="single" w:color="auto" w:sz="4" w:space="0"/>
            </w:tcBorders>
          </w:tcPr>
          <w:p w14:paraId="34AAEC2C">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shd w:val="clear" w:color="000000" w:fill="FFFFFF"/>
          </w:tcPr>
          <w:p w14:paraId="1C332D14">
            <w:pPr>
              <w:widowControl w:val="1"/>
              <w:jc w:val="center"/>
              <w:rPr>
                <w:color w:val="auto"/>
                <w:sz w:val="22"/>
                <w:kern w:val="0"/>
                <w:rFonts w:ascii="宋体" w:hAnsi="宋体" w:eastAsia="宋体" w:cs="宋体"/>
              </w:rPr>
            </w:pPr>
            <w:r>
              <w:rPr>
                <w:color w:val="auto"/>
                <w:sz w:val="22"/>
                <w:kern w:val="0"/>
                <w:rFonts w:ascii="宋体" w:hAnsi="宋体" w:eastAsia="宋体" w:cs="宋体"/>
              </w:rPr>
              <w:t>项</w:t>
            </w:r>
          </w:p>
        </w:tc>
        <w:tc>
          <w:tcPr>
            <w:tcW w:w="395" w:type="pct"/>
            <w:vAlign w:val="center"/>
            <w:tcBorders>
              <w:top w:val="nil"/>
              <w:left w:val="nil"/>
              <w:bottom w:val="single" w:color="auto" w:sz="4" w:space="0"/>
              <w:right w:val="single" w:color="auto" w:sz="4" w:space="0"/>
            </w:tcBorders>
            <w:shd w:val="clear" w:color="000000" w:fill="FFFFFF"/>
          </w:tcPr>
          <w:p w14:paraId="72550A9D">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973" w:type="pct"/>
            <w:vAlign w:val="center"/>
            <w:tcBorders>
              <w:top w:val="nil"/>
              <w:left w:val="nil"/>
              <w:bottom w:val="single" w:color="auto" w:sz="4" w:space="0"/>
              <w:right w:val="single" w:color="auto" w:sz="4" w:space="0"/>
            </w:tcBorders>
          </w:tcPr>
          <w:p w14:paraId="43852BA3">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1FDD70A7">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12D5247A">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7</w:t>
            </w:r>
          </w:p>
        </w:tc>
        <w:tc>
          <w:tcPr>
            <w:tcW w:w="3696" w:type="pct"/>
            <w:gridSpan w:val="4"/>
            <w:vAlign w:val="center"/>
            <w:tcBorders>
              <w:top w:val="single" w:color="auto" w:sz="4" w:space="0"/>
              <w:left w:val="nil"/>
              <w:bottom w:val="single" w:color="auto" w:sz="4" w:space="0"/>
              <w:right w:val="single" w:color="auto" w:sz="4" w:space="0"/>
            </w:tcBorders>
          </w:tcPr>
          <w:p w14:paraId="15E50888">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门禁装置</w:t>
            </w:r>
          </w:p>
        </w:tc>
        <w:tc>
          <w:tcPr>
            <w:tcW w:w="973" w:type="pct"/>
            <w:vAlign w:val="bottom"/>
            <w:tcBorders>
              <w:top w:val="nil"/>
              <w:left w:val="nil"/>
              <w:bottom w:val="single" w:color="auto" w:sz="4" w:space="0"/>
              <w:right w:val="single" w:color="auto" w:sz="4" w:space="0"/>
            </w:tcBorders>
          </w:tcPr>
          <w:p w14:paraId="0E850354">
            <w:pPr>
              <w:widowControl w:val="1"/>
              <w:jc w:val="left"/>
              <w:rPr>
                <w:color w:val="auto"/>
                <w:sz w:val="22"/>
                <w:kern w:val="0"/>
                <w:rFonts w:ascii="等线" w:hAnsi="等线" w:eastAsia="等线" w:cs="宋体"/>
              </w:rPr>
            </w:pPr>
            <w:r>
              <w:rPr>
                <w:color w:val="auto"/>
                <w:sz w:val="22"/>
                <w:kern w:val="0"/>
                <w:rFonts w:ascii="等线" w:hAnsi="等线" w:eastAsia="等线" w:cs="宋体"/>
              </w:rPr>
              <w:t>　</w:t>
            </w:r>
          </w:p>
        </w:tc>
      </w:tr>
      <w:tr w14:paraId="3CD3B152">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0D3786EB">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1343" w:type="pct"/>
            <w:vAlign w:val="center"/>
            <w:tcBorders>
              <w:top w:val="nil"/>
              <w:left w:val="nil"/>
              <w:bottom w:val="single" w:color="auto" w:sz="4" w:space="0"/>
              <w:right w:val="single" w:color="auto" w:sz="4" w:space="0"/>
            </w:tcBorders>
          </w:tcPr>
          <w:p w14:paraId="263FAD74">
            <w:pPr>
              <w:widowControl w:val="1"/>
              <w:jc w:val="center"/>
              <w:rPr>
                <w:color w:val="auto"/>
                <w:sz w:val="22"/>
                <w:kern w:val="0"/>
                <w:rFonts w:ascii="宋体" w:hAnsi="宋体" w:eastAsia="宋体" w:cs="宋体"/>
              </w:rPr>
            </w:pPr>
            <w:r>
              <w:rPr>
                <w:color w:val="auto"/>
                <w:sz w:val="22"/>
                <w:kern w:val="0"/>
                <w:rFonts w:ascii="宋体" w:hAnsi="宋体" w:eastAsia="宋体" w:cs="宋体"/>
              </w:rPr>
              <w:t>门禁系统</w:t>
            </w:r>
          </w:p>
        </w:tc>
        <w:tc>
          <w:tcPr>
            <w:tcW w:w="1646" w:type="pct"/>
            <w:vAlign w:val="center"/>
            <w:tcBorders>
              <w:top w:val="nil"/>
              <w:left w:val="nil"/>
              <w:bottom w:val="single" w:color="auto" w:sz="4" w:space="0"/>
              <w:right w:val="single" w:color="auto" w:sz="4" w:space="0"/>
            </w:tcBorders>
          </w:tcPr>
          <w:p w14:paraId="73EE0AF0">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tcPr>
          <w:p w14:paraId="0E268430">
            <w:pPr>
              <w:widowControl w:val="1"/>
              <w:jc w:val="center"/>
              <w:rPr>
                <w:color w:val="auto"/>
                <w:sz w:val="22"/>
                <w:kern w:val="0"/>
                <w:rFonts w:ascii="宋体" w:hAnsi="宋体" w:eastAsia="宋体" w:cs="宋体"/>
              </w:rPr>
            </w:pPr>
            <w:r>
              <w:rPr>
                <w:color w:val="auto"/>
                <w:sz w:val="22"/>
                <w:kern w:val="0"/>
                <w:rFonts w:ascii="宋体" w:hAnsi="宋体" w:eastAsia="宋体" w:cs="宋体"/>
              </w:rPr>
              <w:t>套</w:t>
            </w:r>
          </w:p>
        </w:tc>
        <w:tc>
          <w:tcPr>
            <w:tcW w:w="395" w:type="pct"/>
            <w:vAlign w:val="center"/>
            <w:tcBorders>
              <w:top w:val="nil"/>
              <w:left w:val="nil"/>
              <w:bottom w:val="single" w:color="auto" w:sz="4" w:space="0"/>
              <w:right w:val="single" w:color="auto" w:sz="4" w:space="0"/>
            </w:tcBorders>
          </w:tcPr>
          <w:p w14:paraId="76A9E799">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973" w:type="pct"/>
            <w:vAlign w:val="center"/>
            <w:tcBorders>
              <w:top w:val="nil"/>
              <w:left w:val="nil"/>
              <w:bottom w:val="single" w:color="auto" w:sz="4" w:space="0"/>
              <w:right w:val="single" w:color="auto" w:sz="4" w:space="0"/>
            </w:tcBorders>
          </w:tcPr>
          <w:p w14:paraId="6F26C154">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18E2D644">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20466FBB">
            <w:pPr>
              <w:widowControl w:val="1"/>
              <w:jc w:val="center"/>
              <w:rPr>
                <w:color w:val="auto"/>
                <w:sz w:val="22"/>
                <w:kern w:val="0"/>
                <w:rFonts w:ascii="宋体" w:hAnsi="宋体" w:eastAsia="宋体" w:cs="宋体"/>
              </w:rPr>
            </w:pPr>
            <w:r>
              <w:rPr>
                <w:color w:val="auto"/>
                <w:sz w:val="22"/>
                <w:kern w:val="0"/>
                <w:rFonts w:ascii="宋体" w:hAnsi="宋体" w:eastAsia="宋体" w:cs="宋体"/>
              </w:rPr>
              <w:t>(2)</w:t>
            </w:r>
          </w:p>
        </w:tc>
        <w:tc>
          <w:tcPr>
            <w:tcW w:w="1343" w:type="pct"/>
            <w:vAlign w:val="center"/>
            <w:tcBorders>
              <w:top w:val="nil"/>
              <w:left w:val="nil"/>
              <w:bottom w:val="single" w:color="auto" w:sz="4" w:space="0"/>
              <w:right w:val="single" w:color="auto" w:sz="4" w:space="0"/>
            </w:tcBorders>
            <w:shd w:val="clear" w:color="000000" w:fill="FFFFFF"/>
          </w:tcPr>
          <w:p w14:paraId="493923B6">
            <w:pPr>
              <w:widowControl w:val="1"/>
              <w:jc w:val="center"/>
              <w:rPr>
                <w:color w:val="auto"/>
                <w:sz w:val="22"/>
                <w:kern w:val="0"/>
                <w:rFonts w:ascii="宋体" w:hAnsi="宋体" w:eastAsia="宋体" w:cs="宋体"/>
              </w:rPr>
            </w:pPr>
            <w:r>
              <w:rPr>
                <w:color w:val="auto"/>
                <w:sz w:val="22"/>
                <w:kern w:val="0"/>
                <w:rFonts w:ascii="宋体" w:hAnsi="宋体" w:eastAsia="宋体" w:cs="宋体"/>
              </w:rPr>
              <w:t>施工调试费用</w:t>
            </w:r>
          </w:p>
        </w:tc>
        <w:tc>
          <w:tcPr>
            <w:tcW w:w="1646" w:type="pct"/>
            <w:vAlign w:val="center"/>
            <w:tcBorders>
              <w:top w:val="nil"/>
              <w:left w:val="nil"/>
              <w:bottom w:val="single" w:color="auto" w:sz="4" w:space="0"/>
              <w:right w:val="single" w:color="auto" w:sz="4" w:space="0"/>
            </w:tcBorders>
          </w:tcPr>
          <w:p w14:paraId="301BE199">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shd w:val="clear" w:color="000000" w:fill="FFFFFF"/>
          </w:tcPr>
          <w:p w14:paraId="38AA7450">
            <w:pPr>
              <w:widowControl w:val="1"/>
              <w:jc w:val="center"/>
              <w:rPr>
                <w:color w:val="auto"/>
                <w:sz w:val="22"/>
                <w:kern w:val="0"/>
                <w:rFonts w:ascii="宋体" w:hAnsi="宋体" w:eastAsia="宋体" w:cs="宋体"/>
              </w:rPr>
            </w:pPr>
            <w:r>
              <w:rPr>
                <w:color w:val="auto"/>
                <w:sz w:val="22"/>
                <w:kern w:val="0"/>
                <w:rFonts w:ascii="宋体" w:hAnsi="宋体" w:eastAsia="宋体" w:cs="宋体"/>
              </w:rPr>
              <w:t>项</w:t>
            </w:r>
          </w:p>
        </w:tc>
        <w:tc>
          <w:tcPr>
            <w:tcW w:w="395" w:type="pct"/>
            <w:vAlign w:val="center"/>
            <w:tcBorders>
              <w:top w:val="nil"/>
              <w:left w:val="nil"/>
              <w:bottom w:val="single" w:color="auto" w:sz="4" w:space="0"/>
              <w:right w:val="single" w:color="auto" w:sz="4" w:space="0"/>
            </w:tcBorders>
            <w:shd w:val="clear" w:color="000000" w:fill="FFFFFF"/>
          </w:tcPr>
          <w:p w14:paraId="7E3CF0B5">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973" w:type="pct"/>
            <w:vAlign w:val="center"/>
            <w:tcBorders>
              <w:top w:val="nil"/>
              <w:left w:val="nil"/>
              <w:bottom w:val="single" w:color="auto" w:sz="4" w:space="0"/>
              <w:right w:val="single" w:color="auto" w:sz="4" w:space="0"/>
            </w:tcBorders>
          </w:tcPr>
          <w:p w14:paraId="02EB532F">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0E53612A">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174C6AD7">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9</w:t>
            </w:r>
          </w:p>
        </w:tc>
        <w:tc>
          <w:tcPr>
            <w:tcW w:w="3696" w:type="pct"/>
            <w:gridSpan w:val="4"/>
            <w:vAlign w:val="center"/>
            <w:tcBorders>
              <w:top w:val="single" w:color="auto" w:sz="4" w:space="0"/>
              <w:left w:val="nil"/>
              <w:bottom w:val="single" w:color="auto" w:sz="4" w:space="0"/>
              <w:right w:val="single" w:color="auto" w:sz="4" w:space="0"/>
            </w:tcBorders>
          </w:tcPr>
          <w:p w14:paraId="69AB70CD">
            <w:pPr>
              <w:widowControl w:val="1"/>
              <w:jc w:val="center"/>
              <w:rPr>
                <w:b w:val="1"/>
                <w:color w:val="auto"/>
                <w:sz w:val="22"/>
                <w:bCs/>
                <w:kern w:val="0"/>
                <w:rFonts w:ascii="宋体" w:hAnsi="宋体" w:eastAsia="宋体" w:cs="宋体"/>
              </w:rPr>
            </w:pPr>
            <w:r>
              <w:rPr>
                <w:b w:val="1"/>
                <w:color w:val="auto"/>
                <w:sz w:val="22"/>
                <w:bCs/>
                <w:kern w:val="0"/>
                <w:rFonts w:ascii="宋体" w:hAnsi="宋体" w:eastAsia="宋体" w:cs="宋体"/>
              </w:rPr>
              <w:t>通讯柜</w:t>
            </w:r>
          </w:p>
        </w:tc>
        <w:tc>
          <w:tcPr>
            <w:tcW w:w="973" w:type="pct"/>
            <w:vAlign w:val="bottom"/>
            <w:tcBorders>
              <w:top w:val="nil"/>
              <w:left w:val="nil"/>
              <w:bottom w:val="single" w:color="auto" w:sz="4" w:space="0"/>
              <w:right w:val="single" w:color="auto" w:sz="4" w:space="0"/>
            </w:tcBorders>
          </w:tcPr>
          <w:p w14:paraId="7113593D">
            <w:pPr>
              <w:widowControl w:val="1"/>
              <w:jc w:val="left"/>
              <w:rPr>
                <w:color w:val="auto"/>
                <w:sz w:val="22"/>
                <w:kern w:val="0"/>
                <w:rFonts w:ascii="等线" w:hAnsi="等线" w:eastAsia="等线" w:cs="宋体"/>
              </w:rPr>
            </w:pPr>
            <w:r>
              <w:rPr>
                <w:color w:val="auto"/>
                <w:sz w:val="22"/>
                <w:kern w:val="0"/>
                <w:rFonts w:ascii="等线" w:hAnsi="等线" w:eastAsia="等线" w:cs="宋体"/>
              </w:rPr>
              <w:t>　</w:t>
            </w:r>
          </w:p>
        </w:tc>
      </w:tr>
      <w:tr w14:paraId="2B41F714">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2FC3403B">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1343" w:type="pct"/>
            <w:vAlign w:val="center"/>
            <w:tcBorders>
              <w:top w:val="nil"/>
              <w:left w:val="nil"/>
              <w:bottom w:val="single" w:color="auto" w:sz="4" w:space="0"/>
              <w:right w:val="single" w:color="auto" w:sz="4" w:space="0"/>
            </w:tcBorders>
          </w:tcPr>
          <w:p w14:paraId="7083E535">
            <w:pPr>
              <w:widowControl w:val="1"/>
              <w:jc w:val="center"/>
              <w:rPr>
                <w:color w:val="auto"/>
                <w:sz w:val="22"/>
                <w:kern w:val="0"/>
                <w:rFonts w:ascii="宋体" w:hAnsi="宋体" w:eastAsia="宋体" w:cs="宋体"/>
              </w:rPr>
            </w:pPr>
            <w:r>
              <w:rPr>
                <w:color w:val="auto"/>
                <w:sz w:val="22"/>
                <w:kern w:val="0"/>
                <w:rFonts w:ascii="宋体" w:hAnsi="宋体" w:eastAsia="宋体" w:cs="宋体"/>
              </w:rPr>
              <w:t>通讯管理机</w:t>
            </w:r>
          </w:p>
        </w:tc>
        <w:tc>
          <w:tcPr>
            <w:tcW w:w="1646" w:type="pct"/>
            <w:vAlign w:val="center"/>
            <w:tcBorders>
              <w:top w:val="nil"/>
              <w:left w:val="nil"/>
              <w:bottom w:val="single" w:color="auto" w:sz="4" w:space="0"/>
              <w:right w:val="single" w:color="auto" w:sz="4" w:space="0"/>
            </w:tcBorders>
          </w:tcPr>
          <w:p w14:paraId="0EFD10ED">
            <w:pPr>
              <w:widowControl w:val="1"/>
              <w:jc w:val="center"/>
              <w:rPr>
                <w:color w:val="auto"/>
                <w:sz w:val="22"/>
                <w:kern w:val="0"/>
                <w:rFonts w:ascii="宋体" w:hAnsi="宋体" w:eastAsia="宋体" w:cs="宋体"/>
              </w:rPr>
            </w:pPr>
            <w:r>
              <w:rPr>
                <w:color w:val="auto"/>
                <w:sz w:val="22"/>
                <w:kern w:val="0"/>
                <w:rFonts w:ascii="宋体" w:hAnsi="宋体" w:eastAsia="宋体" w:cs="宋体"/>
              </w:rPr>
              <w:t>IMU6100</w:t>
            </w:r>
          </w:p>
        </w:tc>
        <w:tc>
          <w:tcPr>
            <w:tcW w:w="312" w:type="pct"/>
            <w:vAlign w:val="center"/>
            <w:tcBorders>
              <w:top w:val="nil"/>
              <w:left w:val="nil"/>
              <w:bottom w:val="single" w:color="auto" w:sz="4" w:space="0"/>
              <w:right w:val="single" w:color="auto" w:sz="4" w:space="0"/>
            </w:tcBorders>
          </w:tcPr>
          <w:p w14:paraId="1D7F1284">
            <w:pPr>
              <w:widowControl w:val="1"/>
              <w:jc w:val="center"/>
              <w:rPr>
                <w:color w:val="auto"/>
                <w:sz w:val="22"/>
                <w:kern w:val="0"/>
                <w:rFonts w:ascii="宋体" w:hAnsi="宋体" w:eastAsia="宋体" w:cs="宋体"/>
              </w:rPr>
            </w:pPr>
            <w:r>
              <w:rPr>
                <w:color w:val="auto"/>
                <w:sz w:val="22"/>
                <w:kern w:val="0"/>
                <w:rFonts w:ascii="宋体" w:hAnsi="宋体" w:eastAsia="宋体" w:cs="宋体"/>
              </w:rPr>
              <w:t>台</w:t>
            </w:r>
          </w:p>
        </w:tc>
        <w:tc>
          <w:tcPr>
            <w:tcW w:w="395" w:type="pct"/>
            <w:vAlign w:val="center"/>
            <w:tcBorders>
              <w:top w:val="nil"/>
              <w:left w:val="nil"/>
              <w:bottom w:val="single" w:color="auto" w:sz="4" w:space="0"/>
              <w:right w:val="single" w:color="auto" w:sz="4" w:space="0"/>
            </w:tcBorders>
          </w:tcPr>
          <w:p w14:paraId="2EF61132">
            <w:pPr>
              <w:widowControl w:val="1"/>
              <w:jc w:val="center"/>
              <w:rPr>
                <w:color w:val="auto"/>
                <w:sz w:val="22"/>
                <w:kern w:val="0"/>
                <w:rFonts w:ascii="宋体" w:hAnsi="宋体" w:eastAsia="宋体" w:cs="宋体"/>
              </w:rPr>
            </w:pPr>
            <w:r>
              <w:rPr>
                <w:color w:val="auto"/>
                <w:sz w:val="22"/>
                <w:kern w:val="0"/>
                <w:rFonts w:ascii="宋体" w:hAnsi="宋体" w:eastAsia="宋体" w:cs="宋体"/>
              </w:rPr>
              <w:t>2</w:t>
            </w:r>
          </w:p>
        </w:tc>
        <w:tc>
          <w:tcPr>
            <w:tcW w:w="973" w:type="pct"/>
            <w:vAlign w:val="center"/>
            <w:tcBorders>
              <w:top w:val="nil"/>
              <w:left w:val="nil"/>
              <w:bottom w:val="single" w:color="auto" w:sz="4" w:space="0"/>
              <w:right w:val="single" w:color="auto" w:sz="4" w:space="0"/>
            </w:tcBorders>
          </w:tcPr>
          <w:p w14:paraId="30FE6A54">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797EB206">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1CB07696">
            <w:pPr>
              <w:widowControl w:val="1"/>
              <w:jc w:val="center"/>
              <w:rPr>
                <w:color w:val="auto"/>
                <w:sz w:val="22"/>
                <w:kern w:val="0"/>
                <w:rFonts w:ascii="宋体" w:hAnsi="宋体" w:eastAsia="宋体" w:cs="宋体"/>
              </w:rPr>
            </w:pPr>
            <w:r>
              <w:rPr>
                <w:color w:val="auto"/>
                <w:sz w:val="22"/>
                <w:kern w:val="0"/>
                <w:rFonts w:ascii="宋体" w:hAnsi="宋体" w:eastAsia="宋体" w:cs="宋体"/>
              </w:rPr>
              <w:t>(2)</w:t>
            </w:r>
          </w:p>
        </w:tc>
        <w:tc>
          <w:tcPr>
            <w:tcW w:w="1343" w:type="pct"/>
            <w:vAlign w:val="center"/>
            <w:tcBorders>
              <w:top w:val="nil"/>
              <w:left w:val="nil"/>
              <w:bottom w:val="single" w:color="auto" w:sz="4" w:space="0"/>
              <w:right w:val="single" w:color="auto" w:sz="4" w:space="0"/>
            </w:tcBorders>
          </w:tcPr>
          <w:p w14:paraId="38C21470">
            <w:pPr>
              <w:widowControl w:val="1"/>
              <w:jc w:val="center"/>
              <w:rPr>
                <w:color w:val="auto"/>
                <w:sz w:val="22"/>
                <w:kern w:val="0"/>
                <w:rFonts w:ascii="宋体" w:hAnsi="宋体" w:eastAsia="宋体" w:cs="宋体"/>
              </w:rPr>
            </w:pPr>
            <w:r>
              <w:rPr>
                <w:color w:val="auto"/>
                <w:sz w:val="22"/>
                <w:kern w:val="0"/>
                <w:rFonts w:ascii="宋体" w:hAnsi="宋体" w:eastAsia="宋体" w:cs="宋体"/>
              </w:rPr>
              <w:t>交换机</w:t>
            </w:r>
          </w:p>
        </w:tc>
        <w:tc>
          <w:tcPr>
            <w:tcW w:w="1646" w:type="pct"/>
            <w:vAlign w:val="center"/>
            <w:tcBorders>
              <w:top w:val="nil"/>
              <w:left w:val="nil"/>
              <w:bottom w:val="single" w:color="auto" w:sz="4" w:space="0"/>
              <w:right w:val="single" w:color="auto" w:sz="4" w:space="0"/>
            </w:tcBorders>
          </w:tcPr>
          <w:p w14:paraId="0896CC28">
            <w:pPr>
              <w:widowControl w:val="1"/>
              <w:jc w:val="center"/>
              <w:rPr>
                <w:color w:val="auto"/>
                <w:sz w:val="22"/>
                <w:kern w:val="0"/>
                <w:rFonts w:ascii="宋体" w:hAnsi="宋体" w:eastAsia="宋体" w:cs="宋体"/>
              </w:rPr>
            </w:pPr>
            <w:r>
              <w:rPr>
                <w:color w:val="auto"/>
                <w:sz w:val="22"/>
                <w:kern w:val="0"/>
                <w:rFonts w:ascii="宋体" w:hAnsi="宋体" w:eastAsia="宋体" w:cs="宋体"/>
              </w:rPr>
              <w:t>2光24电</w:t>
            </w:r>
          </w:p>
        </w:tc>
        <w:tc>
          <w:tcPr>
            <w:tcW w:w="312" w:type="pct"/>
            <w:vAlign w:val="center"/>
            <w:tcBorders>
              <w:top w:val="nil"/>
              <w:left w:val="nil"/>
              <w:bottom w:val="single" w:color="auto" w:sz="4" w:space="0"/>
              <w:right w:val="single" w:color="auto" w:sz="4" w:space="0"/>
            </w:tcBorders>
          </w:tcPr>
          <w:p w14:paraId="1C22C83D">
            <w:pPr>
              <w:widowControl w:val="1"/>
              <w:jc w:val="center"/>
              <w:rPr>
                <w:color w:val="auto"/>
                <w:sz w:val="22"/>
                <w:kern w:val="0"/>
                <w:rFonts w:ascii="宋体" w:hAnsi="宋体" w:eastAsia="宋体" w:cs="宋体"/>
              </w:rPr>
            </w:pPr>
            <w:r>
              <w:rPr>
                <w:color w:val="auto"/>
                <w:sz w:val="22"/>
                <w:kern w:val="0"/>
                <w:rFonts w:ascii="宋体" w:hAnsi="宋体" w:eastAsia="宋体" w:cs="宋体"/>
              </w:rPr>
              <w:t>台</w:t>
            </w:r>
          </w:p>
        </w:tc>
        <w:tc>
          <w:tcPr>
            <w:tcW w:w="395" w:type="pct"/>
            <w:vAlign w:val="center"/>
            <w:tcBorders>
              <w:top w:val="nil"/>
              <w:left w:val="nil"/>
              <w:bottom w:val="single" w:color="auto" w:sz="4" w:space="0"/>
              <w:right w:val="single" w:color="auto" w:sz="4" w:space="0"/>
            </w:tcBorders>
          </w:tcPr>
          <w:p w14:paraId="7D689E5A">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973" w:type="pct"/>
            <w:vAlign w:val="center"/>
            <w:tcBorders>
              <w:top w:val="nil"/>
              <w:left w:val="nil"/>
              <w:bottom w:val="single" w:color="auto" w:sz="4" w:space="0"/>
              <w:right w:val="single" w:color="auto" w:sz="4" w:space="0"/>
            </w:tcBorders>
          </w:tcPr>
          <w:p w14:paraId="318FECDD">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760086FD">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0C8084EC">
            <w:pPr>
              <w:widowControl w:val="1"/>
              <w:jc w:val="center"/>
              <w:rPr>
                <w:color w:val="auto"/>
                <w:sz w:val="22"/>
                <w:kern w:val="0"/>
                <w:rFonts w:ascii="宋体" w:hAnsi="宋体" w:eastAsia="宋体" w:cs="宋体"/>
              </w:rPr>
            </w:pPr>
            <w:r>
              <w:rPr>
                <w:color w:val="auto"/>
                <w:sz w:val="22"/>
                <w:kern w:val="0"/>
                <w:rFonts w:ascii="宋体" w:hAnsi="宋体" w:eastAsia="宋体" w:cs="宋体"/>
              </w:rPr>
              <w:t>(3)</w:t>
            </w:r>
          </w:p>
        </w:tc>
        <w:tc>
          <w:tcPr>
            <w:tcW w:w="1343" w:type="pct"/>
            <w:vAlign w:val="center"/>
            <w:tcBorders>
              <w:top w:val="nil"/>
              <w:left w:val="nil"/>
              <w:bottom w:val="single" w:color="auto" w:sz="4" w:space="0"/>
              <w:right w:val="single" w:color="auto" w:sz="4" w:space="0"/>
            </w:tcBorders>
          </w:tcPr>
          <w:p w14:paraId="39780536">
            <w:pPr>
              <w:widowControl w:val="1"/>
              <w:jc w:val="center"/>
              <w:rPr>
                <w:color w:val="auto"/>
                <w:sz w:val="22"/>
                <w:kern w:val="0"/>
                <w:rFonts w:ascii="宋体" w:hAnsi="宋体" w:eastAsia="宋体" w:cs="宋体"/>
              </w:rPr>
            </w:pPr>
            <w:r>
              <w:rPr>
                <w:color w:val="auto"/>
                <w:sz w:val="22"/>
                <w:kern w:val="0"/>
                <w:rFonts w:ascii="宋体" w:hAnsi="宋体" w:eastAsia="宋体" w:cs="宋体"/>
              </w:rPr>
              <w:t>云盒</w:t>
            </w:r>
          </w:p>
        </w:tc>
        <w:tc>
          <w:tcPr>
            <w:tcW w:w="1646" w:type="pct"/>
            <w:vAlign w:val="center"/>
            <w:tcBorders>
              <w:top w:val="nil"/>
              <w:left w:val="nil"/>
              <w:bottom w:val="single" w:color="auto" w:sz="4" w:space="0"/>
              <w:right w:val="single" w:color="auto" w:sz="4" w:space="0"/>
            </w:tcBorders>
          </w:tcPr>
          <w:p w14:paraId="4C6CBA4A">
            <w:pPr>
              <w:widowControl w:val="1"/>
              <w:jc w:val="center"/>
              <w:rPr>
                <w:color w:val="auto"/>
                <w:sz w:val="22"/>
                <w:kern w:val="0"/>
                <w:rFonts w:ascii="宋体" w:hAnsi="宋体" w:eastAsia="宋体" w:cs="宋体"/>
              </w:rPr>
            </w:pPr>
            <w:r>
              <w:rPr>
                <w:color w:val="auto"/>
                <w:sz w:val="22"/>
                <w:kern w:val="0"/>
                <w:rFonts w:ascii="宋体" w:hAnsi="宋体" w:eastAsia="宋体" w:cs="宋体"/>
              </w:rPr>
              <w:t>IMU6500-eBOX</w:t>
            </w:r>
          </w:p>
        </w:tc>
        <w:tc>
          <w:tcPr>
            <w:tcW w:w="312" w:type="pct"/>
            <w:vAlign w:val="center"/>
            <w:tcBorders>
              <w:top w:val="nil"/>
              <w:left w:val="nil"/>
              <w:bottom w:val="single" w:color="auto" w:sz="4" w:space="0"/>
              <w:right w:val="single" w:color="auto" w:sz="4" w:space="0"/>
            </w:tcBorders>
          </w:tcPr>
          <w:p w14:paraId="02338247">
            <w:pPr>
              <w:widowControl w:val="1"/>
              <w:jc w:val="center"/>
              <w:rPr>
                <w:color w:val="auto"/>
                <w:sz w:val="22"/>
                <w:kern w:val="0"/>
                <w:rFonts w:ascii="宋体" w:hAnsi="宋体" w:eastAsia="宋体" w:cs="宋体"/>
              </w:rPr>
            </w:pPr>
            <w:r>
              <w:rPr>
                <w:color w:val="auto"/>
                <w:sz w:val="22"/>
                <w:kern w:val="0"/>
                <w:rFonts w:ascii="宋体" w:hAnsi="宋体" w:eastAsia="宋体" w:cs="宋体"/>
              </w:rPr>
              <w:t>台</w:t>
            </w:r>
          </w:p>
        </w:tc>
        <w:tc>
          <w:tcPr>
            <w:tcW w:w="395" w:type="pct"/>
            <w:vAlign w:val="center"/>
            <w:tcBorders>
              <w:top w:val="nil"/>
              <w:left w:val="nil"/>
              <w:bottom w:val="single" w:color="auto" w:sz="4" w:space="0"/>
              <w:right w:val="single" w:color="auto" w:sz="4" w:space="0"/>
            </w:tcBorders>
          </w:tcPr>
          <w:p w14:paraId="0D1985A9">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973" w:type="pct"/>
            <w:vAlign w:val="center"/>
            <w:tcBorders>
              <w:top w:val="nil"/>
              <w:left w:val="nil"/>
              <w:bottom w:val="single" w:color="auto" w:sz="4" w:space="0"/>
              <w:right w:val="single" w:color="auto" w:sz="4" w:space="0"/>
            </w:tcBorders>
          </w:tcPr>
          <w:p w14:paraId="272949CA">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60E3D3D5">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shd w:val="clear" w:color="000000" w:fill="FFFFFF"/>
          </w:tcPr>
          <w:p w14:paraId="0D4786D8">
            <w:pPr>
              <w:widowControl w:val="1"/>
              <w:jc w:val="center"/>
              <w:rPr>
                <w:color w:val="auto"/>
                <w:sz w:val="22"/>
                <w:kern w:val="0"/>
                <w:rFonts w:ascii="宋体" w:hAnsi="宋体" w:eastAsia="宋体" w:cs="宋体"/>
              </w:rPr>
            </w:pPr>
            <w:r>
              <w:rPr>
                <w:color w:val="auto"/>
                <w:sz w:val="22"/>
                <w:kern w:val="0"/>
                <w:rFonts w:ascii="宋体" w:hAnsi="宋体" w:eastAsia="宋体" w:cs="宋体"/>
              </w:rPr>
              <w:t>(4)</w:t>
            </w:r>
          </w:p>
        </w:tc>
        <w:tc>
          <w:tcPr>
            <w:tcW w:w="1343" w:type="pct"/>
            <w:vAlign w:val="center"/>
            <w:tcBorders>
              <w:top w:val="nil"/>
              <w:left w:val="nil"/>
              <w:bottom w:val="single" w:color="auto" w:sz="4" w:space="0"/>
              <w:right w:val="single" w:color="auto" w:sz="4" w:space="0"/>
            </w:tcBorders>
            <w:shd w:val="clear" w:color="000000" w:fill="FFFFFF"/>
          </w:tcPr>
          <w:p w14:paraId="0C0CD022">
            <w:pPr>
              <w:widowControl w:val="1"/>
              <w:jc w:val="center"/>
              <w:rPr>
                <w:color w:val="auto"/>
                <w:sz w:val="22"/>
                <w:kern w:val="0"/>
                <w:rFonts w:ascii="宋体" w:hAnsi="宋体" w:eastAsia="宋体" w:cs="宋体"/>
              </w:rPr>
            </w:pPr>
            <w:r>
              <w:rPr>
                <w:color w:val="auto"/>
                <w:sz w:val="22"/>
                <w:kern w:val="0"/>
                <w:rFonts w:ascii="宋体" w:hAnsi="宋体" w:eastAsia="宋体" w:cs="宋体"/>
              </w:rPr>
              <w:t>无线路由器</w:t>
            </w:r>
          </w:p>
        </w:tc>
        <w:tc>
          <w:tcPr>
            <w:tcW w:w="1646" w:type="pct"/>
            <w:vAlign w:val="center"/>
            <w:tcBorders>
              <w:top w:val="nil"/>
              <w:left w:val="nil"/>
              <w:bottom w:val="single" w:color="auto" w:sz="4" w:space="0"/>
              <w:right w:val="single" w:color="auto" w:sz="4" w:space="0"/>
            </w:tcBorders>
            <w:shd w:val="clear" w:color="000000" w:fill="FFFFFF"/>
          </w:tcPr>
          <w:p w14:paraId="62995CA6">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c>
          <w:tcPr>
            <w:tcW w:w="312" w:type="pct"/>
            <w:vAlign w:val="center"/>
            <w:tcBorders>
              <w:top w:val="nil"/>
              <w:left w:val="nil"/>
              <w:bottom w:val="single" w:color="auto" w:sz="4" w:space="0"/>
              <w:right w:val="single" w:color="auto" w:sz="4" w:space="0"/>
            </w:tcBorders>
            <w:shd w:val="clear" w:color="000000" w:fill="FFFFFF"/>
          </w:tcPr>
          <w:p w14:paraId="30844444">
            <w:pPr>
              <w:widowControl w:val="1"/>
              <w:jc w:val="center"/>
              <w:rPr>
                <w:color w:val="auto"/>
                <w:sz w:val="22"/>
                <w:kern w:val="0"/>
                <w:rFonts w:ascii="宋体" w:hAnsi="宋体" w:eastAsia="宋体" w:cs="宋体"/>
              </w:rPr>
            </w:pPr>
            <w:r>
              <w:rPr>
                <w:color w:val="auto"/>
                <w:sz w:val="22"/>
                <w:kern w:val="0"/>
                <w:rFonts w:ascii="宋体" w:hAnsi="宋体" w:eastAsia="宋体" w:cs="宋体"/>
              </w:rPr>
              <w:t>台</w:t>
            </w:r>
          </w:p>
        </w:tc>
        <w:tc>
          <w:tcPr>
            <w:tcW w:w="395" w:type="pct"/>
            <w:vAlign w:val="center"/>
            <w:tcBorders>
              <w:top w:val="nil"/>
              <w:left w:val="nil"/>
              <w:bottom w:val="single" w:color="auto" w:sz="4" w:space="0"/>
              <w:right w:val="single" w:color="auto" w:sz="4" w:space="0"/>
            </w:tcBorders>
            <w:shd w:val="clear" w:color="000000" w:fill="FFFFFF"/>
          </w:tcPr>
          <w:p w14:paraId="5D3BB71F">
            <w:pPr>
              <w:widowControl w:val="1"/>
              <w:jc w:val="center"/>
              <w:rPr>
                <w:color w:val="auto"/>
                <w:sz w:val="22"/>
                <w:kern w:val="0"/>
                <w:rFonts w:ascii="宋体" w:hAnsi="宋体" w:eastAsia="宋体" w:cs="宋体"/>
              </w:rPr>
            </w:pPr>
            <w:r>
              <w:rPr>
                <w:color w:val="auto"/>
                <w:sz w:val="22"/>
                <w:kern w:val="0"/>
                <w:rFonts w:ascii="宋体" w:hAnsi="宋体" w:eastAsia="宋体" w:cs="宋体"/>
              </w:rPr>
              <w:t>2</w:t>
            </w:r>
          </w:p>
        </w:tc>
        <w:tc>
          <w:tcPr>
            <w:tcW w:w="973" w:type="pct"/>
            <w:vAlign w:val="center"/>
            <w:tcBorders>
              <w:top w:val="nil"/>
              <w:left w:val="nil"/>
              <w:bottom w:val="single" w:color="auto" w:sz="4" w:space="0"/>
              <w:right w:val="single" w:color="auto" w:sz="4" w:space="0"/>
            </w:tcBorders>
            <w:shd w:val="clear" w:color="000000" w:fill="FFFFFF"/>
          </w:tcPr>
          <w:p w14:paraId="56ED18F8">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r w14:paraId="5AA8B36D">
        <w:tblPrEx>
          <w:tblCellMar>
            <w:top w:type="dxa" w:w="0.000000"/>
            <w:bottom w:type="dxa" w:w="0.000000"/>
            <w:left w:type="dxa" w:w="108.000000"/>
            <w:right w:type="dxa" w:w="108.000000"/>
          </w:tblCellMar>
        </w:tblPrEx>
        <w:trPr>
          <w:trHeight w:val="396" w:hRule="atLeast"/>
        </w:trPr>
        <w:tc>
          <w:tcPr>
            <w:tcW w:w="331" w:type="pct"/>
            <w:vAlign w:val="center"/>
            <w:tcBorders>
              <w:top w:val="nil"/>
              <w:left w:val="single" w:color="auto" w:sz="4" w:space="0"/>
              <w:bottom w:val="single" w:color="auto" w:sz="4" w:space="0"/>
              <w:right w:val="single" w:color="auto" w:sz="4" w:space="0"/>
            </w:tcBorders>
          </w:tcPr>
          <w:p w14:paraId="1F42883E">
            <w:pPr>
              <w:widowControl w:val="1"/>
              <w:jc w:val="center"/>
              <w:rPr>
                <w:color w:val="auto"/>
                <w:sz w:val="22"/>
                <w:kern w:val="0"/>
                <w:rFonts w:ascii="宋体" w:hAnsi="宋体" w:eastAsia="宋体" w:cs="宋体"/>
              </w:rPr>
            </w:pPr>
            <w:r>
              <w:rPr>
                <w:color w:val="auto"/>
                <w:sz w:val="22"/>
                <w:kern w:val="0"/>
                <w:rFonts w:ascii="宋体" w:hAnsi="宋体" w:eastAsia="宋体" w:cs="宋体"/>
              </w:rPr>
              <w:t>(5)</w:t>
            </w:r>
          </w:p>
        </w:tc>
        <w:tc>
          <w:tcPr>
            <w:tcW w:w="1343" w:type="pct"/>
            <w:vAlign w:val="center"/>
            <w:tcBorders>
              <w:top w:val="nil"/>
              <w:left w:val="nil"/>
              <w:bottom w:val="single" w:color="auto" w:sz="4" w:space="0"/>
              <w:right w:val="single" w:color="auto" w:sz="4" w:space="0"/>
            </w:tcBorders>
          </w:tcPr>
          <w:p w14:paraId="567181A6">
            <w:pPr>
              <w:widowControl w:val="1"/>
              <w:jc w:val="center"/>
              <w:rPr>
                <w:color w:val="auto"/>
                <w:sz w:val="22"/>
                <w:kern w:val="0"/>
                <w:rFonts w:ascii="宋体" w:hAnsi="宋体" w:eastAsia="宋体" w:cs="宋体"/>
              </w:rPr>
            </w:pPr>
            <w:r>
              <w:rPr>
                <w:color w:val="auto"/>
                <w:sz w:val="22"/>
                <w:kern w:val="0"/>
                <w:rFonts w:ascii="宋体" w:hAnsi="宋体" w:eastAsia="宋体" w:cs="宋体"/>
              </w:rPr>
              <w:t>通讯柜</w:t>
            </w:r>
          </w:p>
        </w:tc>
        <w:tc>
          <w:tcPr>
            <w:tcW w:w="1646" w:type="pct"/>
            <w:vAlign w:val="center"/>
            <w:tcBorders>
              <w:top w:val="nil"/>
              <w:left w:val="nil"/>
              <w:bottom w:val="single" w:color="auto" w:sz="4" w:space="0"/>
              <w:right w:val="single" w:color="auto" w:sz="4" w:space="0"/>
            </w:tcBorders>
          </w:tcPr>
          <w:p w14:paraId="5B878FF3">
            <w:pPr>
              <w:widowControl w:val="1"/>
              <w:jc w:val="center"/>
              <w:rPr>
                <w:color w:val="auto"/>
                <w:sz w:val="22"/>
                <w:kern w:val="0"/>
                <w:rFonts w:ascii="宋体" w:hAnsi="宋体" w:eastAsia="宋体" w:cs="宋体"/>
              </w:rPr>
            </w:pPr>
            <w:r>
              <w:rPr>
                <w:color w:val="auto"/>
                <w:sz w:val="22"/>
                <w:kern w:val="0"/>
                <w:rFonts w:ascii="宋体" w:hAnsi="宋体" w:eastAsia="宋体" w:cs="宋体"/>
              </w:rPr>
              <w:t>2260*800*600</w:t>
            </w:r>
          </w:p>
        </w:tc>
        <w:tc>
          <w:tcPr>
            <w:tcW w:w="312" w:type="pct"/>
            <w:vAlign w:val="center"/>
            <w:tcBorders>
              <w:top w:val="nil"/>
              <w:left w:val="nil"/>
              <w:bottom w:val="single" w:color="auto" w:sz="4" w:space="0"/>
              <w:right w:val="single" w:color="auto" w:sz="4" w:space="0"/>
            </w:tcBorders>
          </w:tcPr>
          <w:p w14:paraId="7AAA4486">
            <w:pPr>
              <w:widowControl w:val="1"/>
              <w:jc w:val="center"/>
              <w:rPr>
                <w:color w:val="auto"/>
                <w:sz w:val="22"/>
                <w:kern w:val="0"/>
                <w:rFonts w:ascii="宋体" w:hAnsi="宋体" w:eastAsia="宋体" w:cs="宋体"/>
              </w:rPr>
            </w:pPr>
            <w:r>
              <w:rPr>
                <w:color w:val="auto"/>
                <w:sz w:val="22"/>
                <w:kern w:val="0"/>
                <w:rFonts w:ascii="宋体" w:hAnsi="宋体" w:eastAsia="宋体" w:cs="宋体"/>
              </w:rPr>
              <w:t>面</w:t>
            </w:r>
          </w:p>
        </w:tc>
        <w:tc>
          <w:tcPr>
            <w:tcW w:w="395" w:type="pct"/>
            <w:vAlign w:val="center"/>
            <w:tcBorders>
              <w:top w:val="nil"/>
              <w:left w:val="nil"/>
              <w:bottom w:val="single" w:color="auto" w:sz="4" w:space="0"/>
              <w:right w:val="single" w:color="auto" w:sz="4" w:space="0"/>
            </w:tcBorders>
          </w:tcPr>
          <w:p w14:paraId="7113D46B">
            <w:pPr>
              <w:widowControl w:val="1"/>
              <w:jc w:val="center"/>
              <w:rPr>
                <w:color w:val="auto"/>
                <w:sz w:val="22"/>
                <w:kern w:val="0"/>
                <w:rFonts w:ascii="宋体" w:hAnsi="宋体" w:eastAsia="宋体" w:cs="宋体"/>
              </w:rPr>
            </w:pPr>
            <w:r>
              <w:rPr>
                <w:color w:val="auto"/>
                <w:sz w:val="22"/>
                <w:kern w:val="0"/>
                <w:rFonts w:ascii="宋体" w:hAnsi="宋体" w:eastAsia="宋体" w:cs="宋体"/>
              </w:rPr>
              <w:t>1</w:t>
            </w:r>
          </w:p>
        </w:tc>
        <w:tc>
          <w:tcPr>
            <w:tcW w:w="973" w:type="pct"/>
            <w:vAlign w:val="center"/>
            <w:tcBorders>
              <w:top w:val="nil"/>
              <w:left w:val="nil"/>
              <w:bottom w:val="single" w:color="auto" w:sz="4" w:space="0"/>
              <w:right w:val="single" w:color="auto" w:sz="4" w:space="0"/>
            </w:tcBorders>
          </w:tcPr>
          <w:p w14:paraId="20C903EF">
            <w:pPr>
              <w:widowControl w:val="1"/>
              <w:jc w:val="center"/>
              <w:rPr>
                <w:color w:val="auto"/>
                <w:sz w:val="22"/>
                <w:kern w:val="0"/>
                <w:rFonts w:ascii="宋体" w:hAnsi="宋体" w:eastAsia="宋体" w:cs="宋体"/>
              </w:rPr>
            </w:pPr>
            <w:r>
              <w:rPr>
                <w:color w:val="auto"/>
                <w:sz w:val="22"/>
                <w:kern w:val="0"/>
                <w:rFonts w:ascii="宋体" w:hAnsi="宋体" w:eastAsia="宋体" w:cs="宋体"/>
              </w:rPr>
              <w:t>　</w:t>
            </w:r>
          </w:p>
        </w:tc>
      </w:tr>
    </w:tbl>
    <w:p w14:paraId="5E19D452">
      <w:pPr>
        <w:spacing w:line="360" w:lineRule="auto"/>
        <w:rPr>
          <w:color w:val="auto"/>
          <w:sz w:val="24"/>
          <w:szCs w:val="24"/>
          <w:rFonts w:ascii="Times New Roman" w:hAnsi="Times New Roman" w:eastAsia="宋体" w:cs="Times New Roman"/>
        </w:rPr>
      </w:pPr>
    </w:p>
    <w:p w14:paraId="316741EF">
      <w:pPr>
        <w:jc w:val="left"/>
        <w:outlineLvl w:val="0"/>
        <w:spacing w:after="120" w:before="120" w:line="360" w:lineRule="auto"/>
        <w:rPr>
          <w:b w:val="1"/>
          <w:color w:val="auto"/>
          <w:sz w:val="30"/>
          <w:bCs/>
          <w:szCs w:val="30"/>
          <w:rFonts w:ascii="宋体" w:hAnsi="宋体" w:eastAsia="宋体"/>
        </w:rPr>
      </w:pPr>
      <w:bookmarkStart w:id="122" w:name="_Toc244176146"/>
      <w:bookmarkStart w:id="123" w:name="_Toc244176415"/>
      <w:r>
        <w:rPr>
          <w:b w:val="1"/>
          <w:color w:val="auto"/>
          <w:sz w:val="30"/>
          <w:bCs/>
          <w:szCs w:val="30"/>
          <w:rFonts w:ascii="宋体" w:hAnsi="宋体" w:eastAsia="宋体" w:hint="eastAsia"/>
        </w:rPr>
        <w:t>六、</w:t>
      </w:r>
      <w:r>
        <w:rPr>
          <w:b w:val="1"/>
          <w:color w:val="auto"/>
          <w:sz w:val="30"/>
          <w:bCs/>
          <w:szCs w:val="30"/>
          <w:rFonts w:ascii="宋体" w:hAnsi="宋体" w:eastAsia="宋体"/>
        </w:rPr>
        <w:t>试验、调试与验收</w:t>
      </w:r>
      <w:bookmarkEnd w:id="122"/>
      <w:bookmarkEnd w:id="123"/>
    </w:p>
    <w:p w14:paraId="2B006158">
      <w:pPr>
        <w:jc w:val="left"/>
        <w:outlineLvl w:val="1"/>
        <w:spacing w:after="120" w:before="120" w:line="360" w:lineRule="auto"/>
        <w:rPr>
          <w:b w:val="1"/>
          <w:color w:val="auto"/>
          <w:sz w:val="28"/>
          <w:bCs/>
          <w:szCs w:val="28"/>
          <w:rFonts w:ascii="宋体" w:hAnsi="宋体" w:eastAsia="宋体" w:hint="eastAsia"/>
        </w:rPr>
      </w:pPr>
      <w:bookmarkStart w:id="124" w:name="_Toc244176416"/>
      <w:bookmarkStart w:id="125" w:name="_Toc244176147"/>
      <w:r>
        <w:rPr>
          <w:b w:val="1"/>
          <w:color w:val="auto"/>
          <w:sz w:val="28"/>
          <w:bCs/>
          <w:szCs w:val="28"/>
          <w:rFonts w:ascii="宋体" w:hAnsi="宋体" w:eastAsia="宋体" w:hint="eastAsia"/>
        </w:rPr>
        <w:t>6.1 出厂检验</w:t>
      </w:r>
      <w:bookmarkEnd w:id="124"/>
      <w:bookmarkEnd w:id="125"/>
    </w:p>
    <w:p w14:paraId="39567697">
      <w:pPr>
        <w:topLinePunct w:val="1"/>
        <w:jc w:val="left"/>
        <w:spacing w:line="360" w:lineRule="auto"/>
        <w:ind w:firstLine="480" w:firstLineChars="200"/>
        <w:rPr>
          <w:color w:val="auto"/>
          <w:sz w:val="24"/>
          <w:bCs/>
          <w:kern w:val="21"/>
          <w:szCs w:val="24"/>
          <w:rFonts w:ascii="Times New Roman" w:hAnsi="Times New Roman" w:eastAsia="宋体" w:cs="Times New Roman" w:hint="eastAsia"/>
        </w:rPr>
      </w:pPr>
      <w:r>
        <w:rPr>
          <w:color w:val="auto"/>
          <w:sz w:val="24"/>
          <w:bCs/>
          <w:kern w:val="21"/>
          <w:szCs w:val="24"/>
          <w:rFonts w:ascii="Times New Roman" w:hAnsi="Times New Roman" w:eastAsia="宋体" w:cs="Times New Roman" w:hint="eastAsia"/>
        </w:rPr>
        <w:t>网关、采集终端出厂配套合格证、出厂检测报告。软件提供版本说明、功能测试报告。</w:t>
      </w:r>
    </w:p>
    <w:p w14:paraId="1D7569DE">
      <w:pPr>
        <w:jc w:val="left"/>
        <w:outlineLvl w:val="1"/>
        <w:spacing w:after="120" w:before="120" w:line="360" w:lineRule="auto"/>
        <w:rPr>
          <w:b w:val="1"/>
          <w:color w:val="auto"/>
          <w:sz w:val="28"/>
          <w:bCs/>
          <w:szCs w:val="28"/>
          <w:rFonts w:ascii="宋体" w:hAnsi="宋体" w:eastAsia="宋体" w:hint="eastAsia"/>
        </w:rPr>
      </w:pPr>
      <w:bookmarkStart w:id="126" w:name="_Toc244176148"/>
      <w:bookmarkStart w:id="127" w:name="_Toc244176417"/>
      <w:r>
        <w:rPr>
          <w:b w:val="1"/>
          <w:color w:val="auto"/>
          <w:sz w:val="28"/>
          <w:bCs/>
          <w:szCs w:val="28"/>
          <w:rFonts w:ascii="宋体" w:hAnsi="宋体" w:eastAsia="宋体" w:hint="eastAsia"/>
        </w:rPr>
        <w:t>6.2 现场调试</w:t>
      </w:r>
      <w:bookmarkEnd w:id="126"/>
      <w:bookmarkEnd w:id="127"/>
    </w:p>
    <w:p w14:paraId="757CB875">
      <w:pPr>
        <w:topLinePunct w:val="1"/>
        <w:jc w:val="left"/>
        <w:spacing w:line="360" w:lineRule="auto"/>
        <w:ind w:firstLine="480" w:firstLineChars="200"/>
        <w:rPr>
          <w:color w:val="auto"/>
          <w:sz w:val="24"/>
          <w:bCs/>
          <w:kern w:val="21"/>
          <w:szCs w:val="24"/>
          <w:rFonts w:ascii="Times New Roman" w:hAnsi="Times New Roman" w:eastAsia="宋体" w:cs="Times New Roman" w:hint="eastAsia"/>
        </w:rPr>
      </w:pPr>
      <w:r>
        <w:rPr>
          <w:color w:val="auto"/>
          <w:sz w:val="24"/>
          <w:bCs/>
          <w:kern w:val="21"/>
          <w:szCs w:val="24"/>
          <w:rFonts w:ascii="Times New Roman" w:hAnsi="Times New Roman" w:eastAsia="宋体" w:cs="Times New Roman" w:hint="eastAsia"/>
        </w:rPr>
        <w:t>投标人负责平台部署、点位核对、终端安装接线、通信调试、平台点位对点、告警测试、工单流程测试、报表验证、对接联调。</w:t>
      </w:r>
    </w:p>
    <w:p w14:paraId="154B52ED">
      <w:pPr>
        <w:jc w:val="left"/>
        <w:outlineLvl w:val="1"/>
        <w:spacing w:after="120" w:before="120" w:line="360" w:lineRule="auto"/>
        <w:rPr>
          <w:b w:val="1"/>
          <w:color w:val="auto"/>
          <w:sz w:val="28"/>
          <w:bCs/>
          <w:szCs w:val="28"/>
          <w:rFonts w:ascii="宋体" w:hAnsi="宋体" w:eastAsia="宋体" w:hint="eastAsia"/>
        </w:rPr>
      </w:pPr>
      <w:bookmarkStart w:id="128" w:name="_Toc244176418"/>
      <w:bookmarkStart w:id="129" w:name="_Toc244176149"/>
      <w:r>
        <w:rPr>
          <w:b w:val="1"/>
          <w:color w:val="auto"/>
          <w:sz w:val="28"/>
          <w:bCs/>
          <w:szCs w:val="28"/>
          <w:rFonts w:ascii="宋体" w:hAnsi="宋体" w:eastAsia="宋体" w:hint="eastAsia"/>
        </w:rPr>
        <w:t>6.3 验收标准</w:t>
      </w:r>
      <w:bookmarkEnd w:id="128"/>
      <w:bookmarkEnd w:id="129"/>
    </w:p>
    <w:p w14:paraId="2467629F">
      <w:pPr>
        <w:topLinePunct w:val="1"/>
        <w:jc w:val="left"/>
        <w:spacing w:line="360" w:lineRule="auto"/>
        <w:ind w:firstLine="480" w:firstLineChars="200"/>
        <w:rPr>
          <w:color w:val="auto"/>
          <w:sz w:val="24"/>
          <w:bCs/>
          <w:kern w:val="21"/>
          <w:szCs w:val="24"/>
          <w:rFonts w:ascii="Times New Roman" w:hAnsi="Times New Roman" w:eastAsia="宋体" w:cs="Times New Roman" w:hint="eastAsia"/>
        </w:rPr>
      </w:pPr>
      <w:r>
        <w:rPr>
          <w:color w:val="auto"/>
          <w:sz w:val="24"/>
          <w:bCs/>
          <w:kern w:val="21"/>
          <w:szCs w:val="24"/>
          <w:rFonts w:ascii="Times New Roman" w:hAnsi="Times New Roman" w:eastAsia="宋体" w:cs="Times New Roman" w:hint="eastAsia"/>
        </w:rPr>
        <w:t>1. 所有监测点位数据稳定上传，数值准确；</w:t>
      </w:r>
    </w:p>
    <w:p w14:paraId="2D3F30E6">
      <w:pPr>
        <w:topLinePunct w:val="1"/>
        <w:jc w:val="left"/>
        <w:spacing w:line="360" w:lineRule="auto"/>
        <w:ind w:firstLine="480" w:firstLineChars="200"/>
        <w:rPr>
          <w:color w:val="auto"/>
          <w:sz w:val="24"/>
          <w:bCs/>
          <w:kern w:val="21"/>
          <w:szCs w:val="24"/>
          <w:rFonts w:ascii="Times New Roman" w:hAnsi="Times New Roman" w:eastAsia="宋体" w:cs="Times New Roman" w:hint="eastAsia"/>
        </w:rPr>
      </w:pPr>
      <w:r>
        <w:rPr>
          <w:color w:val="auto"/>
          <w:sz w:val="24"/>
          <w:bCs/>
          <w:kern w:val="21"/>
          <w:szCs w:val="24"/>
          <w:rFonts w:ascii="Times New Roman" w:hAnsi="Times New Roman" w:eastAsia="宋体" w:cs="Times New Roman" w:hint="eastAsia"/>
        </w:rPr>
        <w:t>2. 各类告警触发、推送、闭环功能正常；</w:t>
      </w:r>
    </w:p>
    <w:p w14:paraId="6C43B7CD">
      <w:pPr>
        <w:topLinePunct w:val="1"/>
        <w:jc w:val="left"/>
        <w:spacing w:line="360" w:lineRule="auto"/>
        <w:ind w:firstLine="480" w:firstLineChars="200"/>
        <w:rPr>
          <w:color w:val="auto"/>
          <w:sz w:val="24"/>
          <w:bCs/>
          <w:kern w:val="21"/>
          <w:szCs w:val="24"/>
          <w:rFonts w:ascii="Times New Roman" w:hAnsi="Times New Roman" w:eastAsia="宋体" w:cs="Times New Roman" w:hint="eastAsia"/>
        </w:rPr>
      </w:pPr>
      <w:r>
        <w:rPr>
          <w:color w:val="auto"/>
          <w:sz w:val="24"/>
          <w:bCs/>
          <w:kern w:val="21"/>
          <w:szCs w:val="24"/>
          <w:rFonts w:ascii="Times New Roman" w:hAnsi="Times New Roman" w:eastAsia="宋体" w:cs="Times New Roman" w:hint="eastAsia"/>
        </w:rPr>
        <w:t>3. 工单、台账、报表、曲线功能满足本规范；</w:t>
      </w:r>
    </w:p>
    <w:p w14:paraId="7CEF21EA">
      <w:pPr>
        <w:topLinePunct w:val="1"/>
        <w:jc w:val="left"/>
        <w:spacing w:line="360" w:lineRule="auto"/>
        <w:ind w:firstLine="480" w:firstLineChars="200"/>
        <w:rPr>
          <w:color w:val="auto"/>
          <w:sz w:val="24"/>
          <w:bCs/>
          <w:kern w:val="21"/>
          <w:szCs w:val="24"/>
          <w:rFonts w:ascii="Times New Roman" w:hAnsi="Times New Roman" w:eastAsia="宋体" w:cs="Times New Roman" w:hint="eastAsia"/>
        </w:rPr>
      </w:pPr>
      <w:r>
        <w:rPr>
          <w:color w:val="auto"/>
          <w:sz w:val="24"/>
          <w:bCs/>
          <w:kern w:val="21"/>
          <w:szCs w:val="24"/>
          <w:rFonts w:ascii="Times New Roman" w:hAnsi="Times New Roman" w:eastAsia="宋体" w:cs="Times New Roman" w:hint="eastAsia"/>
        </w:rPr>
        <w:t>4. 对接接口数据交互稳定；</w:t>
      </w:r>
    </w:p>
    <w:p w14:paraId="7CF50451">
      <w:pPr>
        <w:topLinePunct w:val="1"/>
        <w:jc w:val="left"/>
        <w:spacing w:line="360" w:lineRule="auto"/>
        <w:ind w:firstLine="480" w:firstLineChars="200"/>
        <w:rPr>
          <w:color w:val="auto"/>
          <w:sz w:val="24"/>
          <w:bCs/>
          <w:kern w:val="21"/>
          <w:szCs w:val="24"/>
          <w:rFonts w:ascii="Times New Roman" w:hAnsi="Times New Roman" w:eastAsia="宋体" w:cs="Times New Roman" w:hint="eastAsia"/>
        </w:rPr>
      </w:pPr>
      <w:r>
        <w:rPr>
          <w:color w:val="auto"/>
          <w:sz w:val="24"/>
          <w:bCs/>
          <w:kern w:val="21"/>
          <w:szCs w:val="24"/>
          <w:rFonts w:ascii="Times New Roman" w:hAnsi="Times New Roman" w:eastAsia="宋体" w:cs="Times New Roman" w:hint="eastAsia"/>
        </w:rPr>
        <w:t>5. 连续试运行 7 天无批量离线、频繁误告警等重大问题；</w:t>
      </w:r>
    </w:p>
    <w:p w14:paraId="121311C3">
      <w:pPr>
        <w:topLinePunct w:val="1"/>
        <w:jc w:val="left"/>
        <w:spacing w:line="360" w:lineRule="auto"/>
        <w:ind w:firstLine="480" w:firstLineChars="200"/>
        <w:rPr>
          <w:color w:val="auto"/>
          <w:sz w:val="24"/>
          <w:bCs/>
          <w:kern w:val="21"/>
          <w:szCs w:val="24"/>
          <w:rFonts w:ascii="Times New Roman" w:hAnsi="Times New Roman" w:eastAsia="宋体" w:cs="Times New Roman"/>
        </w:rPr>
      </w:pPr>
      <w:r>
        <w:rPr>
          <w:color w:val="auto"/>
          <w:sz w:val="24"/>
          <w:bCs/>
          <w:kern w:val="21"/>
          <w:szCs w:val="24"/>
          <w:rFonts w:ascii="Times New Roman" w:hAnsi="Times New Roman" w:eastAsia="宋体" w:cs="Times New Roman" w:hint="eastAsia"/>
        </w:rPr>
        <w:t>6. 资料齐全，培训完成，双方签署验收报告。</w:t>
      </w:r>
    </w:p>
    <w:p w14:paraId="748102CA">
      <w:pPr>
        <w:jc w:val="left"/>
        <w:outlineLvl w:val="0"/>
        <w:tabs>
          <w:tab w:val="left" w:pos="720"/>
        </w:tabs>
        <w:spacing w:after="120" w:before="120" w:line="360" w:lineRule="auto"/>
        <w:rPr>
          <w:b w:val="1"/>
          <w:color w:val="auto"/>
          <w:sz w:val="30"/>
          <w:bCs/>
          <w:szCs w:val="30"/>
          <w:rFonts w:ascii="宋体" w:hAnsi="宋体" w:eastAsia="宋体"/>
        </w:rPr>
      </w:pPr>
      <w:bookmarkStart w:id="130" w:name="_Toc244176419"/>
      <w:bookmarkStart w:id="131" w:name="_Toc244176150"/>
      <w:r>
        <w:rPr>
          <w:b w:val="1"/>
          <w:color w:val="auto"/>
          <w:sz w:val="30"/>
          <w:bCs/>
          <w:szCs w:val="30"/>
          <w:rFonts w:ascii="宋体" w:hAnsi="宋体" w:eastAsia="宋体" w:hint="eastAsia"/>
        </w:rPr>
        <w:t>七、</w:t>
      </w:r>
      <w:r>
        <w:rPr>
          <w:b w:val="1"/>
          <w:color w:val="auto"/>
          <w:sz w:val="30"/>
          <w:bCs/>
          <w:szCs w:val="30"/>
          <w:rFonts w:ascii="宋体" w:hAnsi="宋体" w:eastAsia="宋体"/>
        </w:rPr>
        <w:t>技术资料交付</w:t>
      </w:r>
      <w:bookmarkEnd w:id="130"/>
      <w:bookmarkEnd w:id="131"/>
    </w:p>
    <w:p w14:paraId="07C1F11E">
      <w:pPr>
        <w:topLinePunct w:val="1"/>
        <w:jc w:val="left"/>
        <w:spacing w:line="360" w:lineRule="auto"/>
        <w:ind w:firstLine="480" w:firstLineChars="200"/>
        <w:rPr>
          <w:color w:val="auto"/>
          <w:sz w:val="24"/>
          <w:bCs/>
          <w:kern w:val="21"/>
          <w:szCs w:val="24"/>
          <w:rFonts w:ascii="Times New Roman" w:hAnsi="Times New Roman" w:eastAsia="宋体" w:cs="Times New Roman" w:hint="eastAsia"/>
        </w:rPr>
      </w:pPr>
      <w:r>
        <w:rPr>
          <w:color w:val="auto"/>
          <w:sz w:val="24"/>
          <w:bCs/>
          <w:kern w:val="21"/>
          <w:szCs w:val="24"/>
          <w:rFonts w:ascii="Times New Roman" w:hAnsi="Times New Roman" w:eastAsia="宋体" w:cs="Times New Roman" w:hint="eastAsia"/>
        </w:rPr>
        <w:t>1. 系统总体方案、系统拓扑图</w:t>
      </w:r>
    </w:p>
    <w:p w14:paraId="364BB5A2">
      <w:pPr>
        <w:topLinePunct w:val="1"/>
        <w:jc w:val="left"/>
        <w:spacing w:line="360" w:lineRule="auto"/>
        <w:ind w:firstLine="480" w:firstLineChars="200"/>
        <w:rPr>
          <w:color w:val="auto"/>
          <w:sz w:val="24"/>
          <w:bCs/>
          <w:kern w:val="21"/>
          <w:szCs w:val="24"/>
          <w:rFonts w:ascii="Times New Roman" w:hAnsi="Times New Roman" w:eastAsia="宋体" w:cs="Times New Roman" w:hint="eastAsia"/>
        </w:rPr>
      </w:pPr>
      <w:r>
        <w:rPr>
          <w:color w:val="auto"/>
          <w:sz w:val="24"/>
          <w:bCs/>
          <w:kern w:val="21"/>
          <w:szCs w:val="24"/>
          <w:rFonts w:ascii="Times New Roman" w:hAnsi="Times New Roman" w:eastAsia="宋体" w:cs="Times New Roman" w:hint="eastAsia"/>
        </w:rPr>
        <w:t>2. 平台操作手册、运维手册</w:t>
      </w:r>
    </w:p>
    <w:p w14:paraId="1183E85D">
      <w:pPr>
        <w:topLinePunct w:val="1"/>
        <w:jc w:val="left"/>
        <w:spacing w:line="360" w:lineRule="auto"/>
        <w:ind w:firstLine="480" w:firstLineChars="200"/>
        <w:rPr>
          <w:color w:val="auto"/>
          <w:sz w:val="24"/>
          <w:bCs/>
          <w:kern w:val="21"/>
          <w:szCs w:val="24"/>
          <w:rFonts w:ascii="Times New Roman" w:hAnsi="Times New Roman" w:eastAsia="宋体" w:cs="Times New Roman" w:hint="eastAsia"/>
        </w:rPr>
      </w:pPr>
      <w:r>
        <w:rPr>
          <w:color w:val="auto"/>
          <w:sz w:val="24"/>
          <w:bCs/>
          <w:kern w:val="21"/>
          <w:szCs w:val="24"/>
          <w:rFonts w:ascii="Times New Roman" w:hAnsi="Times New Roman" w:eastAsia="宋体" w:cs="Times New Roman" w:hint="eastAsia"/>
        </w:rPr>
        <w:t>3. 网关、采集终端说明书、接线图</w:t>
      </w:r>
    </w:p>
    <w:p w14:paraId="0C75E977">
      <w:pPr>
        <w:topLinePunct w:val="1"/>
        <w:jc w:val="left"/>
        <w:spacing w:line="360" w:lineRule="auto"/>
        <w:ind w:firstLine="480" w:firstLineChars="200"/>
        <w:rPr>
          <w:color w:val="auto"/>
          <w:sz w:val="24"/>
          <w:bCs/>
          <w:kern w:val="21"/>
          <w:szCs w:val="24"/>
          <w:rFonts w:ascii="Times New Roman" w:hAnsi="Times New Roman" w:eastAsia="宋体" w:cs="Times New Roman" w:hint="eastAsia"/>
        </w:rPr>
      </w:pPr>
      <w:r>
        <w:rPr>
          <w:color w:val="auto"/>
          <w:sz w:val="24"/>
          <w:bCs/>
          <w:kern w:val="21"/>
          <w:szCs w:val="24"/>
          <w:rFonts w:ascii="Times New Roman" w:hAnsi="Times New Roman" w:eastAsia="宋体" w:cs="Times New Roman" w:hint="eastAsia"/>
        </w:rPr>
        <w:t>4. 点位表、测点清单、通信参数表</w:t>
      </w:r>
    </w:p>
    <w:p w14:paraId="2C7DCE1B">
      <w:pPr>
        <w:topLinePunct w:val="1"/>
        <w:jc w:val="left"/>
        <w:spacing w:line="360" w:lineRule="auto"/>
        <w:ind w:firstLine="480" w:firstLineChars="200"/>
        <w:rPr>
          <w:color w:val="auto"/>
          <w:sz w:val="24"/>
          <w:bCs/>
          <w:kern w:val="21"/>
          <w:szCs w:val="24"/>
          <w:rFonts w:ascii="Times New Roman" w:hAnsi="Times New Roman" w:eastAsia="宋体" w:cs="Times New Roman" w:hint="eastAsia"/>
        </w:rPr>
      </w:pPr>
      <w:r>
        <w:rPr>
          <w:color w:val="auto"/>
          <w:sz w:val="24"/>
          <w:bCs/>
          <w:kern w:val="21"/>
          <w:szCs w:val="24"/>
          <w:rFonts w:ascii="Times New Roman" w:hAnsi="Times New Roman" w:eastAsia="宋体" w:cs="Times New Roman" w:hint="eastAsia"/>
        </w:rPr>
        <w:t>5. 试运行报告、验收资料</w:t>
      </w:r>
    </w:p>
    <w:p w14:paraId="11172BA9">
      <w:pPr>
        <w:jc w:val="left"/>
        <w:outlineLvl w:val="0"/>
        <w:tabs>
          <w:tab w:val="left" w:pos="720"/>
        </w:tabs>
        <w:spacing w:after="120" w:before="120" w:line="360" w:lineRule="auto"/>
        <w:rPr>
          <w:b w:val="1"/>
          <w:color w:val="auto"/>
          <w:sz w:val="30"/>
          <w:bCs/>
          <w:szCs w:val="30"/>
          <w:rFonts w:ascii="宋体" w:hAnsi="宋体" w:eastAsia="宋体"/>
        </w:rPr>
      </w:pPr>
      <w:bookmarkStart w:id="132" w:name="_Toc244176420"/>
      <w:bookmarkStart w:id="133" w:name="_Toc244176151"/>
      <w:r>
        <w:rPr>
          <w:b w:val="1"/>
          <w:color w:val="auto"/>
          <w:sz w:val="30"/>
          <w:bCs/>
          <w:szCs w:val="30"/>
          <w:rFonts w:ascii="宋体" w:hAnsi="宋体" w:eastAsia="宋体" w:hint="eastAsia"/>
        </w:rPr>
        <w:t>八、</w:t>
      </w:r>
      <w:r>
        <w:rPr>
          <w:b w:val="1"/>
          <w:color w:val="auto"/>
          <w:sz w:val="30"/>
          <w:bCs/>
          <w:szCs w:val="30"/>
          <w:rFonts w:ascii="宋体" w:hAnsi="宋体" w:eastAsia="宋体"/>
        </w:rPr>
        <w:t>技术服务、培训与质量保证</w:t>
      </w:r>
      <w:bookmarkEnd w:id="132"/>
      <w:bookmarkEnd w:id="133"/>
    </w:p>
    <w:p w14:paraId="26857A9E">
      <w:pPr>
        <w:topLinePunct w:val="1"/>
        <w:jc w:val="left"/>
        <w:spacing w:line="360" w:lineRule="auto"/>
        <w:ind w:firstLine="480" w:firstLineChars="200"/>
        <w:rPr>
          <w:color w:val="auto"/>
          <w:sz w:val="24"/>
          <w:bCs/>
          <w:kern w:val="21"/>
          <w:szCs w:val="24"/>
          <w:rFonts w:ascii="Times New Roman" w:hAnsi="Times New Roman" w:eastAsia="宋体" w:cs="Times New Roman"/>
        </w:rPr>
      </w:pPr>
      <w:r>
        <w:rPr>
          <w:color w:val="auto"/>
          <w:sz w:val="24"/>
          <w:bCs/>
          <w:kern w:val="21"/>
          <w:szCs w:val="24"/>
          <w:rFonts w:ascii="Times New Roman" w:hAnsi="Times New Roman" w:eastAsia="宋体" w:cs="Times New Roman"/>
        </w:rPr>
        <w:t>质保期：自现场验收合格之日起不少于</w:t>
      </w:r>
      <w:r>
        <w:rPr>
          <w:u w:val="single"/>
          <w:color w:val="auto"/>
          <w:sz w:val="24"/>
          <w:bCs/>
          <w:kern w:val="21"/>
          <w:szCs w:val="24"/>
          <w:rFonts w:ascii="Times New Roman" w:hAnsi="Times New Roman" w:eastAsia="宋体" w:cs="Times New Roman" w:hint="eastAsia"/>
        </w:rPr>
        <w:t>12</w:t>
      </w:r>
      <w:r>
        <w:rPr>
          <w:color w:val="auto"/>
          <w:sz w:val="24"/>
          <w:bCs/>
          <w:kern w:val="21"/>
          <w:szCs w:val="24"/>
          <w:rFonts w:ascii="Times New Roman" w:hAnsi="Times New Roman" w:eastAsia="宋体" w:cs="Times New Roman"/>
        </w:rPr>
        <w:t xml:space="preserve">个月；质保期内因系统软件、网关终端产品质量、集成调试原因发生故障，投标人免费远程或上门排查修复、更换设备。人为损坏、雷击、供电异常、招标人私自修改程序不在质保范围。 </w:t>
      </w:r>
    </w:p>
    <w:p w14:paraId="701E0FB8">
      <w:pPr>
        <w:topLinePunct w:val="1"/>
        <w:jc w:val="left"/>
        <w:spacing w:line="360" w:lineRule="auto"/>
        <w:ind w:firstLine="480" w:firstLineChars="200"/>
        <w:rPr>
          <w:color w:val="auto"/>
          <w:sz w:val="24"/>
          <w:bCs/>
          <w:kern w:val="21"/>
          <w:szCs w:val="24"/>
          <w:rFonts w:ascii="Times New Roman" w:hAnsi="Times New Roman" w:eastAsia="宋体" w:cs="Times New Roman" w:hint="eastAsia"/>
        </w:rPr>
      </w:pPr>
      <w:r>
        <w:rPr>
          <w:color w:val="auto"/>
          <w:sz w:val="24"/>
          <w:bCs/>
          <w:kern w:val="21"/>
          <w:szCs w:val="24"/>
          <w:rFonts w:ascii="Times New Roman" w:hAnsi="Times New Roman" w:eastAsia="宋体" w:cs="Times New Roman" w:hint="eastAsia"/>
        </w:rPr>
        <w:t>培训：现场对甲方运维人员开展培训，包含平台操作、告警处置、工单使用、基础参数配置、简单故障排查。</w:t>
      </w:r>
    </w:p>
    <w:p w14:paraId="4C4DFF27">
      <w:pPr>
        <w:topLinePunct w:val="1"/>
        <w:jc w:val="left"/>
        <w:spacing w:line="360" w:lineRule="auto"/>
        <w:ind w:firstLine="480" w:firstLineChars="200"/>
        <w:rPr>
          <w:color w:val="auto"/>
          <w:sz w:val="24"/>
          <w:bCs/>
          <w:kern w:val="21"/>
          <w:szCs w:val="24"/>
          <w:rFonts w:ascii="Times New Roman" w:hAnsi="Times New Roman" w:eastAsia="宋体" w:cs="Times New Roman" w:hint="eastAsia"/>
        </w:rPr>
      </w:pPr>
      <w:r>
        <w:rPr>
          <w:color w:val="auto"/>
          <w:sz w:val="24"/>
          <w:bCs/>
          <w:kern w:val="21"/>
          <w:szCs w:val="24"/>
          <w:rFonts w:ascii="Times New Roman" w:hAnsi="Times New Roman" w:eastAsia="宋体" w:cs="Times New Roman" w:hint="eastAsia"/>
        </w:rPr>
        <w:t>故障响应：</w:t>
      </w:r>
      <w:r>
        <w:rPr>
          <w:u w:val="single"/>
          <w:color w:val="auto"/>
          <w:sz w:val="24"/>
          <w:bCs/>
          <w:kern w:val="21"/>
          <w:szCs w:val="24"/>
          <w:rFonts w:ascii="Times New Roman" w:hAnsi="Times New Roman" w:eastAsia="宋体" w:cs="Times New Roman" w:hint="eastAsia"/>
        </w:rPr>
        <w:t>7×24</w:t>
      </w:r>
      <w:r>
        <w:rPr>
          <w:color w:val="auto"/>
          <w:sz w:val="24"/>
          <w:bCs/>
          <w:kern w:val="21"/>
          <w:szCs w:val="24"/>
          <w:rFonts w:ascii="Times New Roman" w:hAnsi="Times New Roman" w:eastAsia="宋体" w:cs="Times New Roman" w:hint="eastAsia"/>
        </w:rPr>
        <w:t xml:space="preserve"> 小时远程技术支持；接到故障通知</w:t>
      </w:r>
      <w:r>
        <w:rPr>
          <w:u w:val="single"/>
          <w:color w:val="auto"/>
          <w:sz w:val="24"/>
          <w:bCs/>
          <w:kern w:val="21"/>
          <w:szCs w:val="24"/>
          <w:rFonts w:ascii="Times New Roman" w:hAnsi="Times New Roman" w:eastAsia="宋体" w:cs="Times New Roman" w:hint="eastAsia"/>
        </w:rPr>
        <w:t xml:space="preserve"> 2</w:t>
      </w:r>
      <w:r>
        <w:rPr>
          <w:color w:val="auto"/>
          <w:sz w:val="24"/>
          <w:bCs/>
          <w:kern w:val="21"/>
          <w:szCs w:val="24"/>
          <w:rFonts w:ascii="Times New Roman" w:hAnsi="Times New Roman" w:eastAsia="宋体" w:cs="Times New Roman" w:hint="eastAsia"/>
        </w:rPr>
        <w:t>小时内远程响应；如需现场服务</w:t>
      </w:r>
      <w:r>
        <w:rPr>
          <w:u w:val="single"/>
          <w:color w:val="auto"/>
          <w:sz w:val="24"/>
          <w:bCs/>
          <w:kern w:val="21"/>
          <w:szCs w:val="24"/>
          <w:rFonts w:ascii="Times New Roman" w:hAnsi="Times New Roman" w:eastAsia="宋体" w:cs="Times New Roman" w:hint="eastAsia"/>
        </w:rPr>
        <w:t xml:space="preserve"> 24</w:t>
      </w:r>
      <w:r>
        <w:rPr>
          <w:color w:val="auto"/>
          <w:sz w:val="24"/>
          <w:bCs/>
          <w:kern w:val="21"/>
          <w:szCs w:val="24"/>
          <w:rFonts w:ascii="Times New Roman" w:hAnsi="Times New Roman" w:eastAsia="宋体" w:cs="Times New Roman" w:hint="eastAsia"/>
        </w:rPr>
        <w:t>小时到达现场。</w:t>
      </w:r>
    </w:p>
    <w:p w14:paraId="2984E3BA">
      <w:pPr>
        <w:topLinePunct w:val="1"/>
        <w:jc w:val="left"/>
        <w:spacing w:line="360" w:lineRule="auto"/>
        <w:ind w:firstLine="480" w:firstLineChars="200"/>
        <w:rPr>
          <w:color w:val="auto"/>
          <w:sz w:val="24"/>
          <w:bCs/>
          <w:kern w:val="21"/>
          <w:szCs w:val="24"/>
          <w:rFonts w:ascii="Times New Roman" w:hAnsi="Times New Roman" w:eastAsia="宋体" w:cs="Times New Roman"/>
        </w:rPr>
      </w:pPr>
      <w:r>
        <w:rPr>
          <w:color w:val="auto"/>
          <w:sz w:val="24"/>
          <w:bCs/>
          <w:kern w:val="21"/>
          <w:szCs w:val="24"/>
          <w:rFonts w:ascii="Times New Roman" w:hAnsi="Times New Roman" w:eastAsia="宋体" w:cs="Times New Roman" w:hint="eastAsia"/>
        </w:rPr>
        <w:t>质保期满后，提供长期技术支持，维保服务可另行签订维保合同。</w:t>
      </w:r>
    </w:p>
    <w:p w14:paraId="371A35F6">
      <w:pPr>
        <w:spacing w:line="360" w:lineRule="auto"/>
        <w:rPr>
          <w:b w:val="1"/>
          <w:color w:val="auto"/>
          <w:sz w:val="24"/>
          <w:bCs/>
          <w:szCs w:val="24"/>
          <w:rFonts w:ascii="Times New Roman" w:hAnsi="Times New Roman" w:eastAsia="宋体" w:cs="Times New Roman"/>
        </w:rPr>
      </w:pPr>
      <w:r>
        <w:rPr>
          <w:b w:val="1"/>
          <w:color w:val="auto"/>
          <w:sz w:val="24"/>
          <w:bCs/>
          <w:szCs w:val="24"/>
          <w:rFonts w:ascii="Times New Roman" w:hAnsi="Times New Roman" w:eastAsia="宋体" w:cs="Times New Roman" w:hint="eastAsia"/>
        </w:rPr>
        <w:t>九、</w:t>
      </w:r>
      <w:r>
        <w:rPr>
          <w:b w:val="1"/>
          <w:color w:val="auto"/>
          <w:sz w:val="24"/>
          <w:bCs/>
          <w:szCs w:val="24"/>
          <w:rFonts w:ascii="Times New Roman" w:hAnsi="Times New Roman" w:eastAsia="宋体" w:cs="Times New Roman"/>
        </w:rPr>
        <w:t>其他要求</w:t>
      </w:r>
    </w:p>
    <w:p w14:paraId="14552FC6">
      <w:pPr>
        <w:topLinePunct w:val="1"/>
        <w:jc w:val="left"/>
        <w:spacing w:line="360" w:lineRule="auto"/>
        <w:ind w:firstLine="480" w:firstLineChars="200"/>
        <w:rPr>
          <w:color w:val="auto"/>
          <w:sz w:val="24"/>
          <w:bCs/>
          <w:kern w:val="21"/>
          <w:szCs w:val="24"/>
          <w:rFonts w:ascii="Times New Roman" w:hAnsi="Times New Roman" w:eastAsia="宋体" w:cs="Times New Roman"/>
        </w:rPr>
      </w:pPr>
      <w:r>
        <w:rPr>
          <w:color w:val="auto"/>
          <w:sz w:val="24"/>
          <w:bCs/>
          <w:kern w:val="21"/>
          <w:szCs w:val="24"/>
          <w:rFonts w:ascii="Times New Roman" w:hAnsi="Times New Roman" w:eastAsia="宋体" w:cs="Times New Roman"/>
        </w:rPr>
        <w:t xml:space="preserve">本规范为最低技术要求，投标人可提供优于本规范的方案，在投标文件中说明。 </w:t>
      </w:r>
    </w:p>
    <w:p w14:paraId="0394F2F7">
      <w:pPr>
        <w:topLinePunct w:val="1"/>
        <w:jc w:val="left"/>
        <w:spacing w:line="360" w:lineRule="auto"/>
        <w:ind w:firstLine="480" w:firstLineChars="200"/>
        <w:rPr>
          <w:color w:val="auto"/>
          <w:sz w:val="24"/>
          <w:bCs/>
          <w:kern w:val="21"/>
          <w:szCs w:val="24"/>
          <w:rFonts w:ascii="Times New Roman" w:hAnsi="Times New Roman" w:eastAsia="宋体" w:cs="Times New Roman"/>
        </w:rPr>
      </w:pPr>
      <w:r>
        <w:rPr>
          <w:color w:val="auto"/>
          <w:sz w:val="24"/>
          <w:bCs/>
          <w:kern w:val="21"/>
          <w:szCs w:val="24"/>
          <w:rFonts w:ascii="Times New Roman" w:hAnsi="Times New Roman" w:eastAsia="宋体" w:cs="Times New Roman"/>
        </w:rPr>
        <w:t>未尽事宜由双方协商确定。</w:t>
      </w:r>
    </w:p>
    <w:p w14:paraId="27EBD544">
      <w:pPr>
        <w:spacing w:line="360" w:lineRule="auto"/>
        <w:rPr>
          <w:color w:val="auto"/>
          <w:sz w:val="24"/>
          <w:szCs w:val="24"/>
          <w:rFonts w:ascii="Times New Roman" w:hAnsi="Times New Roman" w:eastAsia="宋体" w:cs="Times New Roman"/>
        </w:rPr>
      </w:pPr>
    </w:p>
    <w:p w14:paraId="3845E045">
      <w:pPr>
        <w:spacing w:line="360" w:lineRule="auto"/>
        <w:rPr>
          <w:color w:val="auto"/>
          <w:sz w:val="24"/>
          <w:szCs w:val="24"/>
          <w:rFonts w:ascii="Times New Roman" w:hAnsi="Times New Roman" w:eastAsia="宋体" w:cs="Times New Roman"/>
        </w:rPr>
      </w:pPr>
    </w:p>
    <w:p w14:paraId="496EC0A7">
      <w:pPr>
        <w:spacing w:line="360" w:lineRule="auto"/>
        <w:rPr>
          <w:color w:val="auto"/>
          <w:sz w:val="24"/>
          <w:szCs w:val="24"/>
          <w:rFonts w:ascii="Times New Roman" w:hAnsi="Times New Roman" w:eastAsia="宋体" w:cs="Times New Roman" w:hint="eastAsia"/>
        </w:rPr>
      </w:pPr>
    </w:p>
    <w:sectPr>
      <w:headerReference r:id="rId9" w:type="default"/>
      <w:footerReference r:id="rId8" w:type="first"/>
      <w:footerReference r:id="rId10" w:type="default"/>
      <w:docGrid w:type="lines" w:linePitch="312" w:charSpace="0"/>
      <w:pgSz w:w="11906" w:h="16838"/>
      <w:pgMar w:top="1418" w:right="1418" w:bottom="1418" w:left="1418" w:header="851" w:footer="992" w:gutter="0"/>
      <w:pgNumType w:start="1"/>
      <w:pgNumType w:start="1"/>
      <w:cols w:space="425" w:num="1"/>
    </w:sectPr>
  </w:body>
</w:document>
</file>

<file path=word/fontTable.xml><?xml version="1.0" encoding="utf-8"?>
<w:fonts xmlns:w="http://schemas.openxmlformats.org/wordprocessingml/2006/main" xmlns:w14="http://schemas.microsoft.com/office/word/2010/wordml" xmlns:r="http://schemas.openxmlformats.org/officeDocument/2006/relationships" xmlns:mc="http://schemas.openxmlformats.org/markup-compatibility/2006"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EU-F1">
    <w:altName w:val="宋体"/>
    <w:panose1 w:val="00000000000000000000"/>
    <w:charset w:val="86"/>
    <w:family w:val="auto"/>
    <w:pitch w:val="default"/>
    <w:sig w:usb0="00000000" w:usb1="00000000" w:usb2="00000010" w:usb3="00000000" w:csb0="00040000" w:csb1="00000000"/>
  </w:font>
  <w:font w:name="TimesNewRomanPSMT">
    <w:altName w:val="Times New Roman"/>
    <w:panose1 w:val="00000000000000000000"/>
    <w:charset w:val="00"/>
    <w:family w:val="roman"/>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s="http://schemas.microsoft.com/office/word/2010/wordprocessingShape" xmlns:wne="http://schemas.microsoft.com/office/word/2006/wordml" xmlns:wpg="http://schemas.microsoft.com/office/word/2010/wordprocessingGroup" xmlns:w15="http://schemas.microsoft.com/office/word/2012/wordml" xmlns:w14="http://schemas.microsoft.com/office/word/2010/wordml" xmlns:wpi="http://schemas.microsoft.com/office/word/2010/wordprocessingInk" xmlns:w10="urn:schemas-microsoft-com:office:word" xmlns:wp="http://schemas.openxmlformats.org/drawingml/2006/wordprocessingDrawing" xmlns:wp14="http://schemas.microsoft.com/office/word/2010/wordprocessingDrawing" xmlns:v="urn:schemas-microsoft-com:vml" xmlns:r="http://schemas.openxmlformats.org/officeDocument/2006/relationships" xmlns:m="http://schemas.openxmlformats.org/officeDocument/2006/math" xmlns:wpsCustomData="http://www.wps.cn/officeDocument/2013/wpsCustomData" xmlns:w="http://schemas.openxmlformats.org/wordprocessingml/2006/main" xmlns:o="urn:schemas-microsoft-com:office:office" xmlns:mc="http://schemas.openxmlformats.org/markup-compatibility/2006" xmlns:wpc="http://schemas.microsoft.com/office/word/2010/wordprocessingCanvas" mc:Ignorable="w14 w15 wp14">
  <w:p w14:paraId="3751D739">
    <w:pPr>
      <w:pStyle w:val="20"/>
      <w:jc w:val="center"/>
      <w:rPr>
        <w:rFonts w:hint="eastAsia"/>
      </w:rPr>
    </w:pPr>
  </w:p>
</w:ftr>
</file>

<file path=word/footer2.xml><?xml version="1.0" encoding="utf-8"?>
<w:ftr xmlns:wps="http://schemas.microsoft.com/office/word/2010/wordprocessingShape" xmlns:wne="http://schemas.microsoft.com/office/word/2006/wordml" xmlns:wpg="http://schemas.microsoft.com/office/word/2010/wordprocessingGroup" xmlns:w15="http://schemas.microsoft.com/office/word/2012/wordml" xmlns:w14="http://schemas.microsoft.com/office/word/2010/wordml" xmlns:wpi="http://schemas.microsoft.com/office/word/2010/wordprocessingInk" xmlns:w10="urn:schemas-microsoft-com:office:word" xmlns:wp="http://schemas.openxmlformats.org/drawingml/2006/wordprocessingDrawing" xmlns:wp14="http://schemas.microsoft.com/office/word/2010/wordprocessingDrawing" xmlns:v="urn:schemas-microsoft-com:vml" xmlns:r="http://schemas.openxmlformats.org/officeDocument/2006/relationships" xmlns:m="http://schemas.openxmlformats.org/officeDocument/2006/math" xmlns:wpsCustomData="http://www.wps.cn/officeDocument/2013/wpsCustomData" xmlns:w="http://schemas.openxmlformats.org/wordprocessingml/2006/main" xmlns:o="urn:schemas-microsoft-com:office:office" xmlns:mc="http://schemas.openxmlformats.org/markup-compatibility/2006" xmlns:wpc="http://schemas.microsoft.com/office/word/2010/wordprocessingCanvas" mc:Ignorable="w14 w15 wp14">
  <w:p w14:paraId="0C073995">
    <w:pPr>
      <w:pStyle w:val="20"/>
      <w:rPr>
        <w:rFonts w:hint="eastAsia"/>
      </w:rPr>
    </w:pPr>
  </w:p>
</w:ftr>
</file>

<file path=word/footer3.xml><?xml version="1.0" encoding="utf-8"?>
<w:ftr xmlns:wps="http://schemas.microsoft.com/office/word/2010/wordprocessingShape" xmlns:wne="http://schemas.microsoft.com/office/word/2006/wordml" xmlns:wpg="http://schemas.microsoft.com/office/word/2010/wordprocessingGroup" xmlns:w15="http://schemas.microsoft.com/office/word/2012/wordml" xmlns:w14="http://schemas.microsoft.com/office/word/2010/wordml" xmlns:wpi="http://schemas.microsoft.com/office/word/2010/wordprocessingInk" xmlns:w10="urn:schemas-microsoft-com:office:word" xmlns:wp="http://schemas.openxmlformats.org/drawingml/2006/wordprocessingDrawing" xmlns:wp14="http://schemas.microsoft.com/office/word/2010/wordprocessingDrawing" xmlns:v="urn:schemas-microsoft-com:vml" xmlns:r="http://schemas.openxmlformats.org/officeDocument/2006/relationships" xmlns:m="http://schemas.openxmlformats.org/officeDocument/2006/math" xmlns:wpsCustomData="http://www.wps.cn/officeDocument/2013/wpsCustomData" xmlns:w="http://schemas.openxmlformats.org/wordprocessingml/2006/main" xmlns:o="urn:schemas-microsoft-com:office:office" xmlns:mc="http://schemas.openxmlformats.org/markup-compatibility/2006" xmlns:wpc="http://schemas.microsoft.com/office/word/2010/wordprocessingCanvas" mc:Ignorable="w14 w15 wp14">
  <w:sdt>
    <w:sdtPr>
      <w:id w:val="298426067"/>
      <w:docPartObj>
        <w:docPartGallery w:val="autotext"/>
      </w:docPartObj>
    </w:sdtPr>
    <w:sdtContent>
      <w:p w14:paraId="2DD4CC6C">
        <w:pPr>
          <w:pStyle w:val="20"/>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header1.xml><?xml version="1.0" encoding="utf-8"?>
<w:hdr xmlns:wps="http://schemas.microsoft.com/office/word/2010/wordprocessingShape" xmlns:wne="http://schemas.microsoft.com/office/word/2006/wordml" xmlns:wpg="http://schemas.microsoft.com/office/word/2010/wordprocessingGroup" xmlns:w15="http://schemas.microsoft.com/office/word/2012/wordml" xmlns:w14="http://schemas.microsoft.com/office/word/2010/wordml" xmlns:wpi="http://schemas.microsoft.com/office/word/2010/wordprocessingInk" xmlns:w10="urn:schemas-microsoft-com:office:word" xmlns:wp="http://schemas.openxmlformats.org/drawingml/2006/wordprocessingDrawing" xmlns:wp14="http://schemas.microsoft.com/office/word/2010/wordprocessingDrawing" xmlns:v="urn:schemas-microsoft-com:vml" xmlns:r="http://schemas.openxmlformats.org/officeDocument/2006/relationships" xmlns:m="http://schemas.openxmlformats.org/officeDocument/2006/math" xmlns:wpsCustomData="http://www.wps.cn/officeDocument/2013/wpsCustomData" xmlns:w="http://schemas.openxmlformats.org/wordprocessingml/2006/main" xmlns:o="urn:schemas-microsoft-com:office:office" xmlns:mc="http://schemas.openxmlformats.org/markup-compatibility/2006" xmlns:wpc="http://schemas.microsoft.com/office/word/2010/wordprocessingCanvas" mc:Ignorable="w14 w15 wp14">
  <w:p w14:paraId="184CA31B">
    <w:pPr>
      <w:pStyle w:val="21"/>
      <w:jc w:val="left"/>
      <w:pBdr>
        <w:bottom w:val="single" w:color="auto" w:sz="6" w:space="0"/>
      </w:pBdr>
      <w:rPr>
        <w:rFonts w:hint="eastAsia"/>
      </w:rPr>
    </w:pPr>
  </w:p>
</w:hdr>
</file>

<file path=word/header2.xml><?xml version="1.0" encoding="utf-8"?>
<w:hdr xmlns:wps="http://schemas.microsoft.com/office/word/2010/wordprocessingShape" xmlns:wne="http://schemas.microsoft.com/office/word/2006/wordml" xmlns:wpg="http://schemas.microsoft.com/office/word/2010/wordprocessingGroup" xmlns:w15="http://schemas.microsoft.com/office/word/2012/wordml" xmlns:w14="http://schemas.microsoft.com/office/word/2010/wordml" xmlns:wpi="http://schemas.microsoft.com/office/word/2010/wordprocessingInk" xmlns:w10="urn:schemas-microsoft-com:office:word" xmlns:wp="http://schemas.openxmlformats.org/drawingml/2006/wordprocessingDrawing" xmlns:wp14="http://schemas.microsoft.com/office/word/2010/wordprocessingDrawing" xmlns:v="urn:schemas-microsoft-com:vml" xmlns:r="http://schemas.openxmlformats.org/officeDocument/2006/relationships" xmlns:m="http://schemas.openxmlformats.org/officeDocument/2006/math" xmlns:wpsCustomData="http://www.wps.cn/officeDocument/2013/wpsCustomData" xmlns:w="http://schemas.openxmlformats.org/wordprocessingml/2006/main" xmlns:o="urn:schemas-microsoft-com:office:office" xmlns:mc="http://schemas.openxmlformats.org/markup-compatibility/2006" xmlns:wpc="http://schemas.microsoft.com/office/word/2010/wordprocessingCanvas" mc:Ignorable="w14 w15 wp14">
  <w:p w14:paraId="40A12426">
    <w:pPr>
      <w:pStyle w:val="21"/>
      <w:jc w:val="left"/>
      <w:pBdr>
        <w:bottom w:val="none" w:color="auto" w:sz="0" w:space="1"/>
      </w:pBdr>
      <w:rPr>
        <w:rFonts w:hint="eastAsia"/>
      </w:rPr>
    </w:pPr>
    <w:r>
      <w:rPr>
        <w:rFonts w:hint="eastAsia"/>
      </w:rPr>
      <w:t xml:space="preserve">  </w:t>
    </w:r>
  </w:p>
</w:hdr>
</file>

<file path=word/header3.xml><?xml version="1.0" encoding="utf-8"?>
<w:hdr xmlns:wps="http://schemas.microsoft.com/office/word/2010/wordprocessingShape" xmlns:wne="http://schemas.microsoft.com/office/word/2006/wordml" xmlns:wpg="http://schemas.microsoft.com/office/word/2010/wordprocessingGroup" xmlns:w15="http://schemas.microsoft.com/office/word/2012/wordml" xmlns:w14="http://schemas.microsoft.com/office/word/2010/wordml" xmlns:wpi="http://schemas.microsoft.com/office/word/2010/wordprocessingInk" xmlns:w10="urn:schemas-microsoft-com:office:word" xmlns:wp="http://schemas.openxmlformats.org/drawingml/2006/wordprocessingDrawing" xmlns:wp14="http://schemas.microsoft.com/office/word/2010/wordprocessingDrawing" xmlns:v="urn:schemas-microsoft-com:vml" xmlns:r="http://schemas.openxmlformats.org/officeDocument/2006/relationships" xmlns:m="http://schemas.openxmlformats.org/officeDocument/2006/math" xmlns:wpsCustomData="http://www.wps.cn/officeDocument/2013/wpsCustomData" xmlns:w="http://schemas.openxmlformats.org/wordprocessingml/2006/main" xmlns:o="urn:schemas-microsoft-com:office:office" xmlns:mc="http://schemas.openxmlformats.org/markup-compatibility/2006" xmlns:wpc="http://schemas.microsoft.com/office/word/2010/wordprocessingCanvas" mc:Ignorable="w14 w15 wp14">
  <w:p w14:paraId="40E88DC8"/>
</w:hdr>
</file>

<file path=word/numbering.xml><?xml version="1.0" encoding="utf-8"?>
<w:numbering xmlns:wps="http://schemas.microsoft.com/office/word/2010/wordprocessingShape" xmlns:wne="http://schemas.microsoft.com/office/word/2006/wordml" xmlns:wpg="http://schemas.microsoft.com/office/word/2010/wordprocessingGroup" xmlns:w14="http://schemas.microsoft.com/office/word/2010/wordml" xmlns:wpi="http://schemas.microsoft.com/office/word/2010/wordprocessingInk" xmlns:w10="urn:schemas-microsoft-com:office:word" xmlns:wp="http://schemas.openxmlformats.org/drawingml/2006/wordprocessingDrawing" xmlns:wp14="http://schemas.microsoft.com/office/word/2010/wordprocessingDrawing" xmlns:v="urn:schemas-microsoft-com:vml" xmlns:r="http://schemas.openxmlformats.org/officeDocument/2006/relationships" xmlns:m="http://schemas.openxmlformats.org/officeDocument/2006/math" xmlns:wpsCustomData="http://www.wps.cn/officeDocument/2013/wpsCustomData" xmlns:w="http://schemas.openxmlformats.org/wordprocessingml/2006/main" xmlns:o="urn:schemas-microsoft-com:office:office" xmlns:mc="http://schemas.openxmlformats.org/markup-compatibility/2006" xmlns:wpc="http://schemas.microsoft.com/office/word/2010/wordprocessingCanvas" mc:Ignorable="w14 wp14">
  <w:abstractNum w:abstractNumId="0">
    <w:nsid w:val="FFFFFF7F"/>
    <w:multiLevelType w:val="singleLevel"/>
    <w:tmpl w:val="FFFFFF7F"/>
    <w:lvl w:ilvl="0" w:tentative="0">
      <w:start w:val="1"/>
      <w:numFmt w:val="decimal"/>
      <w:pStyle w:val="13"/>
      <w:lvlText w:val="%1."/>
      <w:lvlJc w:val="left"/>
      <w:pPr>
        <w:tabs>
          <w:tab w:val="left" w:pos="780"/>
        </w:tabs>
        <w:ind w:hanging="360" w:hangingChars="200" w:left="780" w:leftChars="200"/>
      </w:pPr>
    </w:lvl>
  </w:abstractNum>
  <w:abstractNum w:abstractNumId="1">
    <w:nsid w:val="0180448D"/>
    <w:multiLevelType w:val="multilevel"/>
    <w:tmpl w:val="0180448D"/>
    <w:lvl w:ilvl="0" w:tentative="0">
      <w:start w:val="1"/>
      <w:numFmt w:val="bullet"/>
      <w:lvlText w:val=""/>
      <w:lvlJc w:val="left"/>
      <w:pPr>
        <w:ind w:hanging="420" w:left="840"/>
      </w:pPr>
      <w:rPr>
        <w:rFonts w:ascii="Wingdings" w:hAnsi="Wingdings" w:hint="default"/>
      </w:rPr>
    </w:lvl>
    <w:lvl w:ilvl="1" w:tentative="0">
      <w:start w:val="1"/>
      <w:numFmt w:val="bullet"/>
      <w:lvlText w:val=""/>
      <w:lvlJc w:val="left"/>
      <w:pPr>
        <w:ind w:hanging="420" w:left="1260"/>
      </w:pPr>
      <w:rPr>
        <w:rFonts w:ascii="Wingdings" w:hAnsi="Wingdings" w:hint="default"/>
      </w:rPr>
    </w:lvl>
    <w:lvl w:ilvl="2" w:tentative="0">
      <w:start w:val="1"/>
      <w:numFmt w:val="bullet"/>
      <w:lvlText w:val=""/>
      <w:lvlJc w:val="left"/>
      <w:pPr>
        <w:ind w:hanging="420" w:left="1680"/>
      </w:pPr>
      <w:rPr>
        <w:rFonts w:ascii="Wingdings" w:hAnsi="Wingdings" w:hint="default"/>
      </w:rPr>
    </w:lvl>
    <w:lvl w:ilvl="3" w:tentative="0">
      <w:start w:val="1"/>
      <w:numFmt w:val="bullet"/>
      <w:lvlText w:val=""/>
      <w:lvlJc w:val="left"/>
      <w:pPr>
        <w:ind w:hanging="420" w:left="2100"/>
      </w:pPr>
      <w:rPr>
        <w:rFonts w:ascii="Wingdings" w:hAnsi="Wingdings" w:hint="default"/>
      </w:rPr>
    </w:lvl>
    <w:lvl w:ilvl="4" w:tentative="0">
      <w:start w:val="1"/>
      <w:numFmt w:val="bullet"/>
      <w:lvlText w:val=""/>
      <w:lvlJc w:val="left"/>
      <w:pPr>
        <w:ind w:hanging="420" w:left="2520"/>
      </w:pPr>
      <w:rPr>
        <w:rFonts w:ascii="Wingdings" w:hAnsi="Wingdings" w:hint="default"/>
      </w:rPr>
    </w:lvl>
    <w:lvl w:ilvl="5" w:tentative="0">
      <w:start w:val="1"/>
      <w:numFmt w:val="bullet"/>
      <w:lvlText w:val=""/>
      <w:lvlJc w:val="left"/>
      <w:pPr>
        <w:ind w:hanging="420" w:left="2940"/>
      </w:pPr>
      <w:rPr>
        <w:rFonts w:ascii="Wingdings" w:hAnsi="Wingdings" w:hint="default"/>
      </w:rPr>
    </w:lvl>
    <w:lvl w:ilvl="6" w:tentative="0">
      <w:start w:val="1"/>
      <w:numFmt w:val="bullet"/>
      <w:lvlText w:val=""/>
      <w:lvlJc w:val="left"/>
      <w:pPr>
        <w:ind w:hanging="420" w:left="3360"/>
      </w:pPr>
      <w:rPr>
        <w:rFonts w:ascii="Wingdings" w:hAnsi="Wingdings" w:hint="default"/>
      </w:rPr>
    </w:lvl>
    <w:lvl w:ilvl="7" w:tentative="0">
      <w:start w:val="1"/>
      <w:numFmt w:val="bullet"/>
      <w:lvlText w:val=""/>
      <w:lvlJc w:val="left"/>
      <w:pPr>
        <w:ind w:hanging="420" w:left="3780"/>
      </w:pPr>
      <w:rPr>
        <w:rFonts w:ascii="Wingdings" w:hAnsi="Wingdings" w:hint="default"/>
      </w:rPr>
    </w:lvl>
    <w:lvl w:ilvl="8" w:tentative="0">
      <w:start w:val="1"/>
      <w:numFmt w:val="bullet"/>
      <w:lvlText w:val=""/>
      <w:lvlJc w:val="left"/>
      <w:pPr>
        <w:ind w:hanging="420" w:left="4200"/>
      </w:pPr>
      <w:rPr>
        <w:rFonts w:ascii="Wingdings" w:hAnsi="Wingdings" w:hint="default"/>
      </w:rPr>
    </w:lvl>
  </w:abstractNum>
  <w:abstractNum w:abstractNumId="2">
    <w:nsid w:val="0E9A6BF4"/>
    <w:multiLevelType w:val="multilevel"/>
    <w:tmpl w:val="0E9A6BF4"/>
    <w:lvl w:ilvl="0" w:tentative="0">
      <w:start w:val="1"/>
      <w:numFmt w:val="decimal"/>
      <w:pStyle w:val="73"/>
      <w:lvlText w:val="%1."/>
      <w:lvlJc w:val="left"/>
      <w:pPr>
        <w:ind w:hanging="425" w:left="425"/>
      </w:pPr>
    </w:lvl>
    <w:lvl w:ilvl="1" w:tentative="0">
      <w:start w:val="1"/>
      <w:numFmt w:val="decimal"/>
      <w:lvlText w:val="%1.%2."/>
      <w:lvlJc w:val="left"/>
      <w:pPr>
        <w:ind w:hanging="567" w:left="567"/>
      </w:pPr>
    </w:lvl>
    <w:lvl w:ilvl="2" w:tentative="0">
      <w:start w:val="1"/>
      <w:numFmt w:val="decimal"/>
      <w:lvlText w:val="%1.%2.%3."/>
      <w:lvlJc w:val="left"/>
      <w:pPr>
        <w:ind w:hanging="709" w:left="709"/>
      </w:pPr>
    </w:lvl>
    <w:lvl w:ilvl="3" w:tentative="0">
      <w:start w:val="1"/>
      <w:numFmt w:val="decimal"/>
      <w:lvlText w:val="%1.%2.%3.%4."/>
      <w:lvlJc w:val="left"/>
      <w:pPr>
        <w:ind w:hanging="851" w:left="851"/>
      </w:pPr>
    </w:lvl>
    <w:lvl w:ilvl="4" w:tentative="0">
      <w:start w:val="1"/>
      <w:numFmt w:val="decimal"/>
      <w:lvlText w:val="%1.%2.%3.%4.%5."/>
      <w:lvlJc w:val="left"/>
      <w:pPr>
        <w:ind w:hanging="992" w:left="992"/>
      </w:pPr>
    </w:lvl>
    <w:lvl w:ilvl="5" w:tentative="0">
      <w:start w:val="1"/>
      <w:numFmt w:val="decimal"/>
      <w:lvlText w:val="%1.%2.%3.%4.%5.%6."/>
      <w:lvlJc w:val="left"/>
      <w:pPr>
        <w:ind w:hanging="1134" w:left="1134"/>
      </w:pPr>
    </w:lvl>
    <w:lvl w:ilvl="6" w:tentative="0">
      <w:start w:val="1"/>
      <w:numFmt w:val="decimal"/>
      <w:lvlText w:val="%1.%2.%3.%4.%5.%6.%7."/>
      <w:lvlJc w:val="left"/>
      <w:pPr>
        <w:ind w:hanging="1276" w:left="1276"/>
      </w:pPr>
    </w:lvl>
    <w:lvl w:ilvl="7" w:tentative="0">
      <w:start w:val="1"/>
      <w:numFmt w:val="decimal"/>
      <w:lvlText w:val="%1.%2.%3.%4.%5.%6.%7.%8."/>
      <w:lvlJc w:val="left"/>
      <w:pPr>
        <w:ind w:hanging="1418" w:left="1418"/>
      </w:pPr>
    </w:lvl>
    <w:lvl w:ilvl="8" w:tentative="0">
      <w:start w:val="1"/>
      <w:numFmt w:val="decimal"/>
      <w:lvlText w:val="%1.%2.%3.%4.%5.%6.%7.%8.%9."/>
      <w:lvlJc w:val="left"/>
      <w:pPr>
        <w:ind w:hanging="1559" w:left="1559"/>
      </w:pPr>
    </w:lvl>
  </w:abstractNum>
  <w:abstractNum w:abstractNumId="3">
    <w:nsid w:val="1D6314F6"/>
    <w:multiLevelType w:val="multilevel"/>
    <w:tmpl w:val="1D6314F6"/>
    <w:lvl w:ilvl="0" w:tentative="0">
      <w:start w:val="1"/>
      <w:numFmt w:val="bullet"/>
      <w:lvlText w:val=""/>
      <w:lvlJc w:val="left"/>
      <w:pPr>
        <w:ind w:hanging="440" w:left="1160"/>
      </w:pPr>
      <w:rPr>
        <w:rFonts w:ascii="Wingdings" w:hAnsi="Wingdings" w:hint="default"/>
      </w:rPr>
    </w:lvl>
    <w:lvl w:ilvl="1" w:tentative="0">
      <w:start w:val="1"/>
      <w:numFmt w:val="bullet"/>
      <w:lvlText w:val=""/>
      <w:lvlJc w:val="left"/>
      <w:pPr>
        <w:ind w:hanging="440" w:left="1600"/>
      </w:pPr>
      <w:rPr>
        <w:rFonts w:ascii="Wingdings" w:hAnsi="Wingdings" w:hint="default"/>
      </w:rPr>
    </w:lvl>
    <w:lvl w:ilvl="2" w:tentative="0">
      <w:start w:val="1"/>
      <w:numFmt w:val="bullet"/>
      <w:lvlText w:val=""/>
      <w:lvlJc w:val="left"/>
      <w:pPr>
        <w:ind w:hanging="440" w:left="2040"/>
      </w:pPr>
      <w:rPr>
        <w:rFonts w:ascii="Wingdings" w:hAnsi="Wingdings" w:hint="default"/>
      </w:rPr>
    </w:lvl>
    <w:lvl w:ilvl="3" w:tentative="0">
      <w:start w:val="1"/>
      <w:numFmt w:val="bullet"/>
      <w:lvlText w:val=""/>
      <w:lvlJc w:val="left"/>
      <w:pPr>
        <w:ind w:hanging="440" w:left="2480"/>
      </w:pPr>
      <w:rPr>
        <w:rFonts w:ascii="Wingdings" w:hAnsi="Wingdings" w:hint="default"/>
      </w:rPr>
    </w:lvl>
    <w:lvl w:ilvl="4" w:tentative="0">
      <w:start w:val="1"/>
      <w:numFmt w:val="bullet"/>
      <w:lvlText w:val=""/>
      <w:lvlJc w:val="left"/>
      <w:pPr>
        <w:ind w:hanging="440" w:left="2920"/>
      </w:pPr>
      <w:rPr>
        <w:rFonts w:ascii="Wingdings" w:hAnsi="Wingdings" w:hint="default"/>
      </w:rPr>
    </w:lvl>
    <w:lvl w:ilvl="5" w:tentative="0">
      <w:start w:val="1"/>
      <w:numFmt w:val="bullet"/>
      <w:lvlText w:val=""/>
      <w:lvlJc w:val="left"/>
      <w:pPr>
        <w:ind w:hanging="440" w:left="3360"/>
      </w:pPr>
      <w:rPr>
        <w:rFonts w:ascii="Wingdings" w:hAnsi="Wingdings" w:hint="default"/>
      </w:rPr>
    </w:lvl>
    <w:lvl w:ilvl="6" w:tentative="0">
      <w:start w:val="1"/>
      <w:numFmt w:val="bullet"/>
      <w:lvlText w:val=""/>
      <w:lvlJc w:val="left"/>
      <w:pPr>
        <w:ind w:hanging="440" w:left="3800"/>
      </w:pPr>
      <w:rPr>
        <w:rFonts w:ascii="Wingdings" w:hAnsi="Wingdings" w:hint="default"/>
      </w:rPr>
    </w:lvl>
    <w:lvl w:ilvl="7" w:tentative="0">
      <w:start w:val="1"/>
      <w:numFmt w:val="bullet"/>
      <w:lvlText w:val=""/>
      <w:lvlJc w:val="left"/>
      <w:pPr>
        <w:ind w:hanging="440" w:left="4240"/>
      </w:pPr>
      <w:rPr>
        <w:rFonts w:ascii="Wingdings" w:hAnsi="Wingdings" w:hint="default"/>
      </w:rPr>
    </w:lvl>
    <w:lvl w:ilvl="8" w:tentative="0">
      <w:start w:val="1"/>
      <w:numFmt w:val="bullet"/>
      <w:lvlText w:val=""/>
      <w:lvlJc w:val="left"/>
      <w:pPr>
        <w:ind w:hanging="440" w:left="4680"/>
      </w:pPr>
      <w:rPr>
        <w:rFonts w:ascii="Wingdings" w:hAnsi="Wingdings" w:hint="default"/>
      </w:rPr>
    </w:lvl>
  </w:abstractNum>
  <w:abstractNum w:abstractNumId="4">
    <w:nsid w:val="61DB4A62"/>
    <w:multiLevelType w:val="multilevel"/>
    <w:tmpl w:val="61DB4A62"/>
    <w:lvl w:ilvl="0" w:tentative="0">
      <w:start w:val="1"/>
      <w:numFmt w:val="bullet"/>
      <w:lvlText w:val=""/>
      <w:lvlJc w:val="left"/>
      <w:pPr>
        <w:ind w:hanging="440" w:left="1160"/>
      </w:pPr>
      <w:rPr>
        <w:rFonts w:ascii="Wingdings" w:hAnsi="Wingdings" w:hint="default"/>
      </w:rPr>
    </w:lvl>
    <w:lvl w:ilvl="1" w:tentative="0">
      <w:start w:val="1"/>
      <w:numFmt w:val="bullet"/>
      <w:lvlText w:val=""/>
      <w:lvlJc w:val="left"/>
      <w:pPr>
        <w:ind w:hanging="440" w:left="1600"/>
      </w:pPr>
      <w:rPr>
        <w:rFonts w:ascii="Wingdings" w:hAnsi="Wingdings" w:hint="default"/>
      </w:rPr>
    </w:lvl>
    <w:lvl w:ilvl="2" w:tentative="0">
      <w:start w:val="1"/>
      <w:numFmt w:val="bullet"/>
      <w:lvlText w:val=""/>
      <w:lvlJc w:val="left"/>
      <w:pPr>
        <w:ind w:hanging="440" w:left="2040"/>
      </w:pPr>
      <w:rPr>
        <w:rFonts w:ascii="Wingdings" w:hAnsi="Wingdings" w:hint="default"/>
      </w:rPr>
    </w:lvl>
    <w:lvl w:ilvl="3" w:tentative="0">
      <w:start w:val="1"/>
      <w:numFmt w:val="bullet"/>
      <w:lvlText w:val=""/>
      <w:lvlJc w:val="left"/>
      <w:pPr>
        <w:ind w:hanging="440" w:left="2480"/>
      </w:pPr>
      <w:rPr>
        <w:rFonts w:ascii="Wingdings" w:hAnsi="Wingdings" w:hint="default"/>
      </w:rPr>
    </w:lvl>
    <w:lvl w:ilvl="4" w:tentative="0">
      <w:start w:val="1"/>
      <w:numFmt w:val="bullet"/>
      <w:lvlText w:val=""/>
      <w:lvlJc w:val="left"/>
      <w:pPr>
        <w:ind w:hanging="440" w:left="2920"/>
      </w:pPr>
      <w:rPr>
        <w:rFonts w:ascii="Wingdings" w:hAnsi="Wingdings" w:hint="default"/>
      </w:rPr>
    </w:lvl>
    <w:lvl w:ilvl="5" w:tentative="0">
      <w:start w:val="1"/>
      <w:numFmt w:val="bullet"/>
      <w:lvlText w:val=""/>
      <w:lvlJc w:val="left"/>
      <w:pPr>
        <w:ind w:hanging="440" w:left="3360"/>
      </w:pPr>
      <w:rPr>
        <w:rFonts w:ascii="Wingdings" w:hAnsi="Wingdings" w:hint="default"/>
      </w:rPr>
    </w:lvl>
    <w:lvl w:ilvl="6" w:tentative="0">
      <w:start w:val="1"/>
      <w:numFmt w:val="bullet"/>
      <w:lvlText w:val=""/>
      <w:lvlJc w:val="left"/>
      <w:pPr>
        <w:ind w:hanging="440" w:left="3800"/>
      </w:pPr>
      <w:rPr>
        <w:rFonts w:ascii="Wingdings" w:hAnsi="Wingdings" w:hint="default"/>
      </w:rPr>
    </w:lvl>
    <w:lvl w:ilvl="7" w:tentative="0">
      <w:start w:val="1"/>
      <w:numFmt w:val="bullet"/>
      <w:lvlText w:val=""/>
      <w:lvlJc w:val="left"/>
      <w:pPr>
        <w:ind w:hanging="440" w:left="4240"/>
      </w:pPr>
      <w:rPr>
        <w:rFonts w:ascii="Wingdings" w:hAnsi="Wingdings" w:hint="default"/>
      </w:rPr>
    </w:lvl>
    <w:lvl w:ilvl="8" w:tentative="0">
      <w:start w:val="1"/>
      <w:numFmt w:val="bullet"/>
      <w:lvlText w:val=""/>
      <w:lvlJc w:val="left"/>
      <w:pPr>
        <w:ind w:hanging="440" w:left="4680"/>
      </w:pPr>
      <w:rPr>
        <w:rFonts w:ascii="Wingdings" w:hAnsi="Wingdings" w:hint="default"/>
      </w:rPr>
    </w:lvl>
  </w:abstractNum>
  <w:abstractNum w:abstractNumId="5">
    <w:nsid w:val="62DD16ED"/>
    <w:multiLevelType w:val="multilevel"/>
    <w:tmpl w:val="62DD16ED"/>
    <w:lvl w:ilvl="0" w:tentative="0">
      <w:start w:val="1"/>
      <w:numFmt w:val="bullet"/>
      <w:lvlText w:val=""/>
      <w:lvlJc w:val="left"/>
      <w:pPr>
        <w:ind w:hanging="440" w:left="1160"/>
      </w:pPr>
      <w:rPr>
        <w:rFonts w:ascii="Wingdings" w:hAnsi="Wingdings" w:hint="default"/>
      </w:rPr>
    </w:lvl>
    <w:lvl w:ilvl="1" w:tentative="0">
      <w:start w:val="1"/>
      <w:numFmt w:val="bullet"/>
      <w:lvlText w:val=""/>
      <w:lvlJc w:val="left"/>
      <w:pPr>
        <w:ind w:hanging="440" w:left="1600"/>
      </w:pPr>
      <w:rPr>
        <w:rFonts w:ascii="Wingdings" w:hAnsi="Wingdings" w:hint="default"/>
      </w:rPr>
    </w:lvl>
    <w:lvl w:ilvl="2" w:tentative="0">
      <w:start w:val="1"/>
      <w:numFmt w:val="bullet"/>
      <w:lvlText w:val=""/>
      <w:lvlJc w:val="left"/>
      <w:pPr>
        <w:ind w:hanging="440" w:left="2040"/>
      </w:pPr>
      <w:rPr>
        <w:rFonts w:ascii="Wingdings" w:hAnsi="Wingdings" w:hint="default"/>
      </w:rPr>
    </w:lvl>
    <w:lvl w:ilvl="3" w:tentative="0">
      <w:start w:val="1"/>
      <w:numFmt w:val="bullet"/>
      <w:lvlText w:val=""/>
      <w:lvlJc w:val="left"/>
      <w:pPr>
        <w:ind w:hanging="440" w:left="2480"/>
      </w:pPr>
      <w:rPr>
        <w:rFonts w:ascii="Wingdings" w:hAnsi="Wingdings" w:hint="default"/>
      </w:rPr>
    </w:lvl>
    <w:lvl w:ilvl="4" w:tentative="0">
      <w:start w:val="1"/>
      <w:numFmt w:val="bullet"/>
      <w:lvlText w:val=""/>
      <w:lvlJc w:val="left"/>
      <w:pPr>
        <w:ind w:hanging="440" w:left="2920"/>
      </w:pPr>
      <w:rPr>
        <w:rFonts w:ascii="Wingdings" w:hAnsi="Wingdings" w:hint="default"/>
      </w:rPr>
    </w:lvl>
    <w:lvl w:ilvl="5" w:tentative="0">
      <w:start w:val="1"/>
      <w:numFmt w:val="bullet"/>
      <w:lvlText w:val=""/>
      <w:lvlJc w:val="left"/>
      <w:pPr>
        <w:ind w:hanging="440" w:left="3360"/>
      </w:pPr>
      <w:rPr>
        <w:rFonts w:ascii="Wingdings" w:hAnsi="Wingdings" w:hint="default"/>
      </w:rPr>
    </w:lvl>
    <w:lvl w:ilvl="6" w:tentative="0">
      <w:start w:val="1"/>
      <w:numFmt w:val="bullet"/>
      <w:lvlText w:val=""/>
      <w:lvlJc w:val="left"/>
      <w:pPr>
        <w:ind w:hanging="440" w:left="3800"/>
      </w:pPr>
      <w:rPr>
        <w:rFonts w:ascii="Wingdings" w:hAnsi="Wingdings" w:hint="default"/>
      </w:rPr>
    </w:lvl>
    <w:lvl w:ilvl="7" w:tentative="0">
      <w:start w:val="1"/>
      <w:numFmt w:val="bullet"/>
      <w:lvlText w:val=""/>
      <w:lvlJc w:val="left"/>
      <w:pPr>
        <w:ind w:hanging="440" w:left="4240"/>
      </w:pPr>
      <w:rPr>
        <w:rFonts w:ascii="Wingdings" w:hAnsi="Wingdings" w:hint="default"/>
      </w:rPr>
    </w:lvl>
    <w:lvl w:ilvl="8" w:tentative="0">
      <w:start w:val="1"/>
      <w:numFmt w:val="bullet"/>
      <w:lvlText w:val=""/>
      <w:lvlJc w:val="left"/>
      <w:pPr>
        <w:ind w:hanging="440" w:left="4680"/>
      </w:pPr>
      <w:rPr>
        <w:rFonts w:ascii="Wingdings" w:hAnsi="Wingdings" w:hint="default"/>
      </w:rPr>
    </w:lvl>
  </w:abstractNum>
  <w:abstractNum w:abstractNumId="6">
    <w:nsid w:val="71B449C3"/>
    <w:multiLevelType w:val="multilevel"/>
    <w:tmpl w:val="71B449C3"/>
    <w:lvl w:ilvl="0" w:tentative="0">
      <w:start w:val="1"/>
      <w:numFmt w:val="decimal"/>
      <w:lvlText w:val="%1."/>
      <w:lvlJc w:val="left"/>
      <w:pPr>
        <w:tabs>
          <w:tab w:val="left" w:pos="720"/>
        </w:tabs>
        <w:ind w:hanging="720" w:left="720"/>
      </w:pPr>
    </w:lvl>
    <w:lvl w:ilvl="1" w:tentative="0">
      <w:start w:val="1"/>
      <w:numFmt w:val="decimal"/>
      <w:pStyle w:val="74"/>
      <w:lvlText w:val="%2."/>
      <w:lvlJc w:val="left"/>
      <w:pPr>
        <w:tabs>
          <w:tab w:val="left" w:pos="1440"/>
        </w:tabs>
        <w:ind w:hanging="720" w:left="1440"/>
      </w:pPr>
    </w:lvl>
    <w:lvl w:ilvl="2" w:tentative="0">
      <w:start w:val="1"/>
      <w:numFmt w:val="decimal"/>
      <w:pStyle w:val="78"/>
      <w:lvlText w:val="%3."/>
      <w:lvlJc w:val="left"/>
      <w:pPr>
        <w:tabs>
          <w:tab w:val="left" w:pos="2160"/>
        </w:tabs>
        <w:ind w:hanging="720" w:left="2160"/>
      </w:pPr>
    </w:lvl>
    <w:lvl w:ilvl="3" w:tentative="0">
      <w:start w:val="1"/>
      <w:numFmt w:val="decimal"/>
      <w:pStyle w:val="77"/>
      <w:lvlText w:val="%4."/>
      <w:lvlJc w:val="left"/>
      <w:pPr>
        <w:tabs>
          <w:tab w:val="left" w:pos="2880"/>
        </w:tabs>
        <w:ind w:hanging="720" w:left="2880"/>
      </w:pPr>
    </w:lvl>
    <w:lvl w:ilvl="4" w:tentative="0">
      <w:start w:val="1"/>
      <w:numFmt w:val="decimal"/>
      <w:pStyle w:val="79"/>
      <w:lvlText w:val="%5."/>
      <w:lvlJc w:val="left"/>
      <w:pPr>
        <w:tabs>
          <w:tab w:val="left" w:pos="3600"/>
        </w:tabs>
        <w:ind w:hanging="720" w:left="3600"/>
      </w:pPr>
    </w:lvl>
    <w:lvl w:ilvl="5" w:tentative="0">
      <w:start w:val="1"/>
      <w:numFmt w:val="decimal"/>
      <w:lvlText w:val="%6."/>
      <w:lvlJc w:val="left"/>
      <w:pPr>
        <w:tabs>
          <w:tab w:val="left" w:pos="4320"/>
        </w:tabs>
        <w:ind w:hanging="720" w:left="4320"/>
      </w:pPr>
    </w:lvl>
    <w:lvl w:ilvl="6" w:tentative="0">
      <w:start w:val="1"/>
      <w:numFmt w:val="decimal"/>
      <w:lvlText w:val="%7."/>
      <w:lvlJc w:val="left"/>
      <w:pPr>
        <w:tabs>
          <w:tab w:val="left" w:pos="5040"/>
        </w:tabs>
        <w:ind w:hanging="720" w:left="5040"/>
      </w:pPr>
    </w:lvl>
    <w:lvl w:ilvl="7" w:tentative="0">
      <w:start w:val="1"/>
      <w:numFmt w:val="decimal"/>
      <w:lvlText w:val="%8."/>
      <w:lvlJc w:val="left"/>
      <w:pPr>
        <w:tabs>
          <w:tab w:val="left" w:pos="5760"/>
        </w:tabs>
        <w:ind w:hanging="720" w:left="5760"/>
      </w:pPr>
    </w:lvl>
    <w:lvl w:ilvl="8" w:tentative="0">
      <w:start w:val="1"/>
      <w:numFmt w:val="decimal"/>
      <w:lvlText w:val="%9."/>
      <w:lvlJc w:val="left"/>
      <w:pPr>
        <w:tabs>
          <w:tab w:val="left" w:pos="6480"/>
        </w:tabs>
        <w:ind w:hanging="720" w:left="6480"/>
      </w:pPr>
    </w:lvl>
  </w:abstractNum>
  <w:abstractNum w:abstractNumId="7">
    <w:nsid w:val="74C743E3"/>
    <w:multiLevelType w:val="multilevel"/>
    <w:tmpl w:val="74C743E3"/>
    <w:lvl w:ilvl="0" w:tentative="0">
      <w:start w:val="1"/>
      <w:numFmt w:val="bullet"/>
      <w:lvlText w:val=""/>
      <w:lvlJc w:val="left"/>
      <w:pPr>
        <w:ind w:hanging="440" w:left="1160"/>
      </w:pPr>
      <w:rPr>
        <w:rFonts w:ascii="Wingdings" w:hAnsi="Wingdings" w:hint="default"/>
      </w:rPr>
    </w:lvl>
    <w:lvl w:ilvl="1" w:tentative="0">
      <w:start w:val="1"/>
      <w:numFmt w:val="bullet"/>
      <w:lvlText w:val=""/>
      <w:lvlJc w:val="left"/>
      <w:pPr>
        <w:ind w:hanging="440" w:left="1600"/>
      </w:pPr>
      <w:rPr>
        <w:rFonts w:ascii="Wingdings" w:hAnsi="Wingdings" w:hint="default"/>
      </w:rPr>
    </w:lvl>
    <w:lvl w:ilvl="2" w:tentative="0">
      <w:start w:val="1"/>
      <w:numFmt w:val="bullet"/>
      <w:lvlText w:val=""/>
      <w:lvlJc w:val="left"/>
      <w:pPr>
        <w:ind w:hanging="440" w:left="2040"/>
      </w:pPr>
      <w:rPr>
        <w:rFonts w:ascii="Wingdings" w:hAnsi="Wingdings" w:hint="default"/>
      </w:rPr>
    </w:lvl>
    <w:lvl w:ilvl="3" w:tentative="0">
      <w:start w:val="1"/>
      <w:numFmt w:val="bullet"/>
      <w:lvlText w:val=""/>
      <w:lvlJc w:val="left"/>
      <w:pPr>
        <w:ind w:hanging="440" w:left="2480"/>
      </w:pPr>
      <w:rPr>
        <w:rFonts w:ascii="Wingdings" w:hAnsi="Wingdings" w:hint="default"/>
      </w:rPr>
    </w:lvl>
    <w:lvl w:ilvl="4" w:tentative="0">
      <w:start w:val="1"/>
      <w:numFmt w:val="bullet"/>
      <w:lvlText w:val=""/>
      <w:lvlJc w:val="left"/>
      <w:pPr>
        <w:ind w:hanging="440" w:left="2920"/>
      </w:pPr>
      <w:rPr>
        <w:rFonts w:ascii="Wingdings" w:hAnsi="Wingdings" w:hint="default"/>
      </w:rPr>
    </w:lvl>
    <w:lvl w:ilvl="5" w:tentative="0">
      <w:start w:val="1"/>
      <w:numFmt w:val="bullet"/>
      <w:lvlText w:val=""/>
      <w:lvlJc w:val="left"/>
      <w:pPr>
        <w:ind w:hanging="440" w:left="3360"/>
      </w:pPr>
      <w:rPr>
        <w:rFonts w:ascii="Wingdings" w:hAnsi="Wingdings" w:hint="default"/>
      </w:rPr>
    </w:lvl>
    <w:lvl w:ilvl="6" w:tentative="0">
      <w:start w:val="1"/>
      <w:numFmt w:val="bullet"/>
      <w:lvlText w:val=""/>
      <w:lvlJc w:val="left"/>
      <w:pPr>
        <w:ind w:hanging="440" w:left="3800"/>
      </w:pPr>
      <w:rPr>
        <w:rFonts w:ascii="Wingdings" w:hAnsi="Wingdings" w:hint="default"/>
      </w:rPr>
    </w:lvl>
    <w:lvl w:ilvl="7" w:tentative="0">
      <w:start w:val="1"/>
      <w:numFmt w:val="bullet"/>
      <w:lvlText w:val=""/>
      <w:lvlJc w:val="left"/>
      <w:pPr>
        <w:ind w:hanging="440" w:left="4240"/>
      </w:pPr>
      <w:rPr>
        <w:rFonts w:ascii="Wingdings" w:hAnsi="Wingdings" w:hint="default"/>
      </w:rPr>
    </w:lvl>
    <w:lvl w:ilvl="8" w:tentative="0">
      <w:start w:val="1"/>
      <w:numFmt w:val="bullet"/>
      <w:lvlText w:val=""/>
      <w:lvlJc w:val="left"/>
      <w:pPr>
        <w:ind w:hanging="440" w:left="4680"/>
      </w:pPr>
      <w:rPr>
        <w:rFonts w:ascii="Wingdings" w:hAnsi="Wingdings" w:hint="default"/>
      </w:rPr>
    </w:lvl>
  </w:abstractNum>
  <w:num w:numId="1">
    <w:abstractNumId w:val="0"/>
  </w:num>
  <w:num w:numId="2">
    <w:abstractNumId w:val="2"/>
  </w:num>
  <w:num w:numId="3">
    <w:abstractNumId w:val="6"/>
  </w:num>
  <w:num w:numId="4">
    <w:abstractNumId w:val="1"/>
  </w:num>
  <w:num w:numId="5">
    <w:abstractNumId w:val="7"/>
  </w:num>
  <w:num w:numId="6">
    <w:abstractNumId w:val="4"/>
  </w:num>
  <w:num w:numId="7">
    <w:abstractNumId w:val="3"/>
  </w:num>
  <w:num w:numId="8">
    <w:abstractNumId w:val="5"/>
  </w:num>
</w:numbering>
</file>

<file path=word/settings.xml><?xml version="1.0" encoding="utf-8"?>
<w:settings xmlns:w14="http://schemas.microsoft.com/office/word/2010/wordml" xmlns:wpsCustomData="http://www.wps.cn/officeDocument/2013/wpsCustomData" xmlns:w10="urn:schemas-microsoft-com:office:word" xmlns:r="http://schemas.openxmlformats.org/officeDocument/2006/relationships" xmlns:sl="http://schemas.openxmlformats.org/schemaLibrary/2006/main" xmlns:v="urn:schemas-microsoft-com:vml" xmlns:m="http://schemas.openxmlformats.org/officeDocument/2006/math" xmlns:w="http://schemas.openxmlformats.org/wordprocessingml/2006/main" xmlns:o="urn:schemas-microsoft-com:office:office" xmlns:mc="http://schemas.openxmlformats.org/markup-compatibility/2006" mc:Ignorable="w14">
  <w:bordersDoNotSurroundHeader/>
  <w:bordersDoNotSurroundFooter/>
  <w:defaultTabStop w:val="420"/>
  <w:drawingGridVerticalSpacing w:val="156"/>
  <w:drawingGridHorizontalSpacing w:val="105"/>
  <w:displayHorizontalDrawingGridEvery w:val="2"/>
  <w:displayVerticalDrawingGridEvery w:val="2"/>
  <w:characterSpacingControl w:val="compressPunctuation"/>
  <w:zoom w:percent="170"/>
  <w:compat>
    <w:spaceForUL/>
    <w:balanceSingleByteDoubleByteWidth/>
    <w:doNotLeaveBackslashAlone/>
    <w:ulTrailSpace/>
    <w:doNotExpandShiftReturn/>
    <w:adjustLineHeightInTable/>
    <w:useFELayout/>
    <w:compatSetting w:val="15" w:uri="http://schemas.microsoft.com/office/word" w:name="compatibilityMode"/>
    <w:compatSetting w:val="1" w:uri="http://schemas.microsoft.com/office/word" w:name="overrideTableStyleFontSizeAndJustification"/>
    <w:compatSetting w:val="1" w:uri="http://schemas.microsoft.com/office/word" w:name="enableOpenTypeFeatures"/>
    <w:compatSetting w:val="1" w:uri="http://schemas.microsoft.com/office/word" w:name="doNotFlipMirrorIndents"/>
    <w:compatSetting w:val="1" w:uri="http://schemas.microsoft.com/office/word" w:name="differentiateMultirowTableHeaders"/>
  </w:compat>
  <w:rsids>
    <w:rsidRoot w:val="009D5692"/>
    <w:rsid w:val="00002F74"/>
    <w:rsid w:val="00003F81"/>
    <w:rsid w:val="00005BA4"/>
    <w:rsid w:val="000112ED"/>
    <w:rsid w:val="000132AE"/>
    <w:rsid w:val="00013EEE"/>
    <w:rsid w:val="000140F2"/>
    <w:rsid w:val="0001410C"/>
    <w:rsid w:val="00014EF2"/>
    <w:rsid w:val="00015EF8"/>
    <w:rsid w:val="0001667D"/>
    <w:rsid w:val="00016744"/>
    <w:rsid w:val="000170B2"/>
    <w:rsid w:val="000179B0"/>
    <w:rsid w:val="00020751"/>
    <w:rsid w:val="000211DD"/>
    <w:rsid w:val="000213BB"/>
    <w:rsid w:val="000216E7"/>
    <w:rsid w:val="00025BAA"/>
    <w:rsid w:val="00026094"/>
    <w:rsid w:val="00030919"/>
    <w:rsid w:val="00031157"/>
    <w:rsid w:val="00032466"/>
    <w:rsid w:val="000330D8"/>
    <w:rsid w:val="00033856"/>
    <w:rsid w:val="000350D8"/>
    <w:rsid w:val="000351CF"/>
    <w:rsid w:val="0003650B"/>
    <w:rsid w:val="000369CA"/>
    <w:rsid w:val="0003791E"/>
    <w:rsid w:val="000400D6"/>
    <w:rsid w:val="000402E4"/>
    <w:rsid w:val="00041278"/>
    <w:rsid w:val="00041958"/>
    <w:rsid w:val="00042436"/>
    <w:rsid w:val="00042D7E"/>
    <w:rsid w:val="00044FEB"/>
    <w:rsid w:val="00045715"/>
    <w:rsid w:val="00045862"/>
    <w:rsid w:val="00045C8A"/>
    <w:rsid w:val="000460E3"/>
    <w:rsid w:val="00046FEC"/>
    <w:rsid w:val="00050C3A"/>
    <w:rsid w:val="00051FCF"/>
    <w:rsid w:val="00052820"/>
    <w:rsid w:val="00052E65"/>
    <w:rsid w:val="00052F92"/>
    <w:rsid w:val="00052FA0"/>
    <w:rsid w:val="0005300B"/>
    <w:rsid w:val="0005449B"/>
    <w:rsid w:val="0005528D"/>
    <w:rsid w:val="000554A5"/>
    <w:rsid w:val="000561D1"/>
    <w:rsid w:val="00056F3D"/>
    <w:rsid w:val="00057881"/>
    <w:rsid w:val="000619C6"/>
    <w:rsid w:val="000636BF"/>
    <w:rsid w:val="00063F5A"/>
    <w:rsid w:val="00065442"/>
    <w:rsid w:val="00065F40"/>
    <w:rsid w:val="0006667D"/>
    <w:rsid w:val="000669E9"/>
    <w:rsid w:val="00066AD5"/>
    <w:rsid w:val="00067C51"/>
    <w:rsid w:val="00070E1E"/>
    <w:rsid w:val="00071B94"/>
    <w:rsid w:val="00071FD0"/>
    <w:rsid w:val="000720BF"/>
    <w:rsid w:val="00073544"/>
    <w:rsid w:val="00073F61"/>
    <w:rsid w:val="000742B7"/>
    <w:rsid w:val="00075131"/>
    <w:rsid w:val="00075480"/>
    <w:rsid w:val="00076D27"/>
    <w:rsid w:val="0007712C"/>
    <w:rsid w:val="00077F72"/>
    <w:rsid w:val="000808F8"/>
    <w:rsid w:val="00082622"/>
    <w:rsid w:val="000830C3"/>
    <w:rsid w:val="00083F4B"/>
    <w:rsid w:val="0008415A"/>
    <w:rsid w:val="00084176"/>
    <w:rsid w:val="0008472F"/>
    <w:rsid w:val="00084D0C"/>
    <w:rsid w:val="00084D2B"/>
    <w:rsid w:val="000855F0"/>
    <w:rsid w:val="0008599F"/>
    <w:rsid w:val="000862E4"/>
    <w:rsid w:val="00086EA1"/>
    <w:rsid w:val="0008704A"/>
    <w:rsid w:val="00090900"/>
    <w:rsid w:val="00090F52"/>
    <w:rsid w:val="000917C6"/>
    <w:rsid w:val="00093A40"/>
    <w:rsid w:val="00093E44"/>
    <w:rsid w:val="00093EF1"/>
    <w:rsid w:val="000956D8"/>
    <w:rsid w:val="00095AB3"/>
    <w:rsid w:val="0009654C"/>
    <w:rsid w:val="000A06AE"/>
    <w:rsid w:val="000A107C"/>
    <w:rsid w:val="000A1218"/>
    <w:rsid w:val="000A13C1"/>
    <w:rsid w:val="000A2CF5"/>
    <w:rsid w:val="000A5281"/>
    <w:rsid w:val="000B054F"/>
    <w:rsid w:val="000B1215"/>
    <w:rsid w:val="000B1B32"/>
    <w:rsid w:val="000B1C3A"/>
    <w:rsid w:val="000B27DB"/>
    <w:rsid w:val="000B2FEF"/>
    <w:rsid w:val="000B3170"/>
    <w:rsid w:val="000B490A"/>
    <w:rsid w:val="000B5D44"/>
    <w:rsid w:val="000B7C52"/>
    <w:rsid w:val="000B7F65"/>
    <w:rsid w:val="000C03EB"/>
    <w:rsid w:val="000C0E64"/>
    <w:rsid w:val="000C1312"/>
    <w:rsid w:val="000C1406"/>
    <w:rsid w:val="000C1DAC"/>
    <w:rsid w:val="000C27E6"/>
    <w:rsid w:val="000C31B1"/>
    <w:rsid w:val="000C3234"/>
    <w:rsid w:val="000C4358"/>
    <w:rsid w:val="000C4D83"/>
    <w:rsid w:val="000C65C7"/>
    <w:rsid w:val="000C6DF1"/>
    <w:rsid w:val="000C72D3"/>
    <w:rsid w:val="000D115B"/>
    <w:rsid w:val="000D1513"/>
    <w:rsid w:val="000D28D9"/>
    <w:rsid w:val="000D3A09"/>
    <w:rsid w:val="000D44F0"/>
    <w:rsid w:val="000D4A33"/>
    <w:rsid w:val="000D52C2"/>
    <w:rsid w:val="000D79D6"/>
    <w:rsid w:val="000E00C6"/>
    <w:rsid w:val="000E01A7"/>
    <w:rsid w:val="000E0449"/>
    <w:rsid w:val="000E21F5"/>
    <w:rsid w:val="000E2798"/>
    <w:rsid w:val="000E2FB2"/>
    <w:rsid w:val="000E314B"/>
    <w:rsid w:val="000E440B"/>
    <w:rsid w:val="000E4968"/>
    <w:rsid w:val="000E6BC7"/>
    <w:rsid w:val="000E7FA6"/>
    <w:rsid w:val="000F0314"/>
    <w:rsid w:val="000F18DE"/>
    <w:rsid w:val="000F1D3C"/>
    <w:rsid w:val="000F27B9"/>
    <w:rsid w:val="000F2A65"/>
    <w:rsid w:val="000F2C6C"/>
    <w:rsid w:val="000F7E21"/>
    <w:rsid w:val="00100CB7"/>
    <w:rsid w:val="001010FA"/>
    <w:rsid w:val="001012D1"/>
    <w:rsid w:val="001017F1"/>
    <w:rsid w:val="0010193A"/>
    <w:rsid w:val="00101FE0"/>
    <w:rsid w:val="00102C12"/>
    <w:rsid w:val="00102CDE"/>
    <w:rsid w:val="00103806"/>
    <w:rsid w:val="00104133"/>
    <w:rsid w:val="00104D9D"/>
    <w:rsid w:val="00105B1D"/>
    <w:rsid w:val="00106084"/>
    <w:rsid w:val="0010755C"/>
    <w:rsid w:val="00110528"/>
    <w:rsid w:val="0011052F"/>
    <w:rsid w:val="00110C12"/>
    <w:rsid w:val="00111EFE"/>
    <w:rsid w:val="00112021"/>
    <w:rsid w:val="00112992"/>
    <w:rsid w:val="00112C52"/>
    <w:rsid w:val="00112FBC"/>
    <w:rsid w:val="001135FE"/>
    <w:rsid w:val="00114783"/>
    <w:rsid w:val="001150B2"/>
    <w:rsid w:val="0011587A"/>
    <w:rsid w:val="00117781"/>
    <w:rsid w:val="00117A21"/>
    <w:rsid w:val="00121A73"/>
    <w:rsid w:val="00122A6C"/>
    <w:rsid w:val="00123C77"/>
    <w:rsid w:val="00124B3A"/>
    <w:rsid w:val="00124FC5"/>
    <w:rsid w:val="0012527D"/>
    <w:rsid w:val="001253BE"/>
    <w:rsid w:val="0012582E"/>
    <w:rsid w:val="00125FEE"/>
    <w:rsid w:val="00126F6B"/>
    <w:rsid w:val="00130AEF"/>
    <w:rsid w:val="0013133A"/>
    <w:rsid w:val="0013133F"/>
    <w:rsid w:val="00132323"/>
    <w:rsid w:val="00132D59"/>
    <w:rsid w:val="00132EB7"/>
    <w:rsid w:val="001342B5"/>
    <w:rsid w:val="0013574B"/>
    <w:rsid w:val="00135CED"/>
    <w:rsid w:val="0013652E"/>
    <w:rsid w:val="00136553"/>
    <w:rsid w:val="00140545"/>
    <w:rsid w:val="0014161C"/>
    <w:rsid w:val="00141871"/>
    <w:rsid w:val="00142662"/>
    <w:rsid w:val="0014376E"/>
    <w:rsid w:val="00144802"/>
    <w:rsid w:val="00145A1B"/>
    <w:rsid w:val="001467CE"/>
    <w:rsid w:val="00146AEF"/>
    <w:rsid w:val="00146ED7"/>
    <w:rsid w:val="001470C0"/>
    <w:rsid w:val="001474B0"/>
    <w:rsid w:val="001479B0"/>
    <w:rsid w:val="0015156E"/>
    <w:rsid w:val="00151934"/>
    <w:rsid w:val="0015299C"/>
    <w:rsid w:val="00152B11"/>
    <w:rsid w:val="001545A8"/>
    <w:rsid w:val="00155C85"/>
    <w:rsid w:val="00156E0A"/>
    <w:rsid w:val="001574CF"/>
    <w:rsid w:val="0015770B"/>
    <w:rsid w:val="00157E3A"/>
    <w:rsid w:val="00161437"/>
    <w:rsid w:val="001615EF"/>
    <w:rsid w:val="001636DF"/>
    <w:rsid w:val="00163846"/>
    <w:rsid w:val="00164085"/>
    <w:rsid w:val="00164593"/>
    <w:rsid w:val="00164608"/>
    <w:rsid w:val="00164C13"/>
    <w:rsid w:val="00164D34"/>
    <w:rsid w:val="00165497"/>
    <w:rsid w:val="00167551"/>
    <w:rsid w:val="00167C5E"/>
    <w:rsid w:val="00170540"/>
    <w:rsid w:val="001713F4"/>
    <w:rsid w:val="001716BE"/>
    <w:rsid w:val="00171FCB"/>
    <w:rsid w:val="001729A2"/>
    <w:rsid w:val="0017413A"/>
    <w:rsid w:val="00175B48"/>
    <w:rsid w:val="00176622"/>
    <w:rsid w:val="00176858"/>
    <w:rsid w:val="0017722E"/>
    <w:rsid w:val="001778D6"/>
    <w:rsid w:val="00181020"/>
    <w:rsid w:val="001811AF"/>
    <w:rsid w:val="0018183C"/>
    <w:rsid w:val="00181E60"/>
    <w:rsid w:val="00182E5F"/>
    <w:rsid w:val="00184C2A"/>
    <w:rsid w:val="00186467"/>
    <w:rsid w:val="00186659"/>
    <w:rsid w:val="00186E25"/>
    <w:rsid w:val="001907E8"/>
    <w:rsid w:val="00191B28"/>
    <w:rsid w:val="00191DA7"/>
    <w:rsid w:val="00191F34"/>
    <w:rsid w:val="00191F4D"/>
    <w:rsid w:val="00192B1D"/>
    <w:rsid w:val="00192FF6"/>
    <w:rsid w:val="00194A90"/>
    <w:rsid w:val="00195CCF"/>
    <w:rsid w:val="00196A60"/>
    <w:rsid w:val="00196CF8"/>
    <w:rsid w:val="001A0490"/>
    <w:rsid w:val="001A1AD3"/>
    <w:rsid w:val="001A1D85"/>
    <w:rsid w:val="001A2377"/>
    <w:rsid w:val="001A265F"/>
    <w:rsid w:val="001A391F"/>
    <w:rsid w:val="001A661C"/>
    <w:rsid w:val="001A68FF"/>
    <w:rsid w:val="001A6A91"/>
    <w:rsid w:val="001A782B"/>
    <w:rsid w:val="001B14C7"/>
    <w:rsid w:val="001B1986"/>
    <w:rsid w:val="001B1A4A"/>
    <w:rsid w:val="001B1DAC"/>
    <w:rsid w:val="001B26D2"/>
    <w:rsid w:val="001B2FC5"/>
    <w:rsid w:val="001B3F22"/>
    <w:rsid w:val="001B4C99"/>
    <w:rsid w:val="001B4FCD"/>
    <w:rsid w:val="001B6496"/>
    <w:rsid w:val="001B73BD"/>
    <w:rsid w:val="001B748B"/>
    <w:rsid w:val="001C0510"/>
    <w:rsid w:val="001C0992"/>
    <w:rsid w:val="001C0BA7"/>
    <w:rsid w:val="001C2A20"/>
    <w:rsid w:val="001C3F13"/>
    <w:rsid w:val="001C56CE"/>
    <w:rsid w:val="001C61CD"/>
    <w:rsid w:val="001C7045"/>
    <w:rsid w:val="001C710A"/>
    <w:rsid w:val="001C7CF2"/>
    <w:rsid w:val="001D1003"/>
    <w:rsid w:val="001D3058"/>
    <w:rsid w:val="001D3CC6"/>
    <w:rsid w:val="001D53B2"/>
    <w:rsid w:val="001D62F4"/>
    <w:rsid w:val="001D641F"/>
    <w:rsid w:val="001D6740"/>
    <w:rsid w:val="001D7566"/>
    <w:rsid w:val="001E070F"/>
    <w:rsid w:val="001E3394"/>
    <w:rsid w:val="001E6D9C"/>
    <w:rsid w:val="001F0172"/>
    <w:rsid w:val="001F0A1A"/>
    <w:rsid w:val="001F11B8"/>
    <w:rsid w:val="001F127E"/>
    <w:rsid w:val="001F314C"/>
    <w:rsid w:val="001F3E3A"/>
    <w:rsid w:val="001F451F"/>
    <w:rsid w:val="001F4DF7"/>
    <w:rsid w:val="001F7096"/>
    <w:rsid w:val="001F711B"/>
    <w:rsid w:val="002005D2"/>
    <w:rsid w:val="00200CC1"/>
    <w:rsid w:val="002020C5"/>
    <w:rsid w:val="00202EF4"/>
    <w:rsid w:val="00203967"/>
    <w:rsid w:val="0020480E"/>
    <w:rsid w:val="00204F33"/>
    <w:rsid w:val="002051F7"/>
    <w:rsid w:val="002052F5"/>
    <w:rsid w:val="00205BA5"/>
    <w:rsid w:val="00205D20"/>
    <w:rsid w:val="00205DC2"/>
    <w:rsid w:val="00206621"/>
    <w:rsid w:val="0020695F"/>
    <w:rsid w:val="00206F63"/>
    <w:rsid w:val="002071F7"/>
    <w:rsid w:val="00207E42"/>
    <w:rsid w:val="00207F85"/>
    <w:rsid w:val="00211306"/>
    <w:rsid w:val="0021161F"/>
    <w:rsid w:val="002125DD"/>
    <w:rsid w:val="00212881"/>
    <w:rsid w:val="002137BC"/>
    <w:rsid w:val="00213E1C"/>
    <w:rsid w:val="00214EA7"/>
    <w:rsid w:val="00214EBF"/>
    <w:rsid w:val="0021597F"/>
    <w:rsid w:val="00216396"/>
    <w:rsid w:val="0021664B"/>
    <w:rsid w:val="00216B22"/>
    <w:rsid w:val="0021717B"/>
    <w:rsid w:val="002232B4"/>
    <w:rsid w:val="00224316"/>
    <w:rsid w:val="00224B13"/>
    <w:rsid w:val="0022586C"/>
    <w:rsid w:val="00226986"/>
    <w:rsid w:val="0023023E"/>
    <w:rsid w:val="00231809"/>
    <w:rsid w:val="00232226"/>
    <w:rsid w:val="002333C7"/>
    <w:rsid w:val="0023611A"/>
    <w:rsid w:val="002367C0"/>
    <w:rsid w:val="00236936"/>
    <w:rsid w:val="002371B3"/>
    <w:rsid w:val="00237DB3"/>
    <w:rsid w:val="00240044"/>
    <w:rsid w:val="002408F8"/>
    <w:rsid w:val="00240FF1"/>
    <w:rsid w:val="00241733"/>
    <w:rsid w:val="00242859"/>
    <w:rsid w:val="00242A8D"/>
    <w:rsid w:val="0024392C"/>
    <w:rsid w:val="00243F75"/>
    <w:rsid w:val="002443D8"/>
    <w:rsid w:val="00245FB1"/>
    <w:rsid w:val="002461DA"/>
    <w:rsid w:val="0025045A"/>
    <w:rsid w:val="00253473"/>
    <w:rsid w:val="0025405A"/>
    <w:rsid w:val="0025438F"/>
    <w:rsid w:val="00254864"/>
    <w:rsid w:val="00254E32"/>
    <w:rsid w:val="002556C0"/>
    <w:rsid w:val="00257B76"/>
    <w:rsid w:val="00260454"/>
    <w:rsid w:val="00260E04"/>
    <w:rsid w:val="00261162"/>
    <w:rsid w:val="0026136E"/>
    <w:rsid w:val="00261DED"/>
    <w:rsid w:val="002620F0"/>
    <w:rsid w:val="002627A0"/>
    <w:rsid w:val="00263025"/>
    <w:rsid w:val="00263159"/>
    <w:rsid w:val="0026386A"/>
    <w:rsid w:val="002641D5"/>
    <w:rsid w:val="0026489E"/>
    <w:rsid w:val="00265631"/>
    <w:rsid w:val="002658FC"/>
    <w:rsid w:val="00267035"/>
    <w:rsid w:val="002700B8"/>
    <w:rsid w:val="002708EF"/>
    <w:rsid w:val="002716D6"/>
    <w:rsid w:val="0027378C"/>
    <w:rsid w:val="00273AE0"/>
    <w:rsid w:val="00274319"/>
    <w:rsid w:val="00274518"/>
    <w:rsid w:val="00275297"/>
    <w:rsid w:val="00275A69"/>
    <w:rsid w:val="00275B67"/>
    <w:rsid w:val="00277B60"/>
    <w:rsid w:val="00277CEB"/>
    <w:rsid w:val="00277E67"/>
    <w:rsid w:val="00280D2B"/>
    <w:rsid w:val="00283970"/>
    <w:rsid w:val="00283B7F"/>
    <w:rsid w:val="00284A5D"/>
    <w:rsid w:val="00286319"/>
    <w:rsid w:val="00286D95"/>
    <w:rsid w:val="00290B6E"/>
    <w:rsid w:val="00290DAE"/>
    <w:rsid w:val="00291125"/>
    <w:rsid w:val="0029119A"/>
    <w:rsid w:val="002911FF"/>
    <w:rsid w:val="002917CE"/>
    <w:rsid w:val="0029261F"/>
    <w:rsid w:val="00293A2B"/>
    <w:rsid w:val="00293E71"/>
    <w:rsid w:val="002945FB"/>
    <w:rsid w:val="0029474B"/>
    <w:rsid w:val="002958CA"/>
    <w:rsid w:val="0029624A"/>
    <w:rsid w:val="002969AB"/>
    <w:rsid w:val="00297B59"/>
    <w:rsid w:val="002A140F"/>
    <w:rsid w:val="002A2161"/>
    <w:rsid w:val="002A2B7E"/>
    <w:rsid w:val="002A2CB3"/>
    <w:rsid w:val="002A369F"/>
    <w:rsid w:val="002A3DDF"/>
    <w:rsid w:val="002A4200"/>
    <w:rsid w:val="002A4295"/>
    <w:rsid w:val="002A434A"/>
    <w:rsid w:val="002A529C"/>
    <w:rsid w:val="002A560E"/>
    <w:rsid w:val="002A7BCB"/>
    <w:rsid w:val="002B0533"/>
    <w:rsid w:val="002B1AA0"/>
    <w:rsid w:val="002B2CC0"/>
    <w:rsid w:val="002B46A6"/>
    <w:rsid w:val="002B4800"/>
    <w:rsid w:val="002B577F"/>
    <w:rsid w:val="002B6A9A"/>
    <w:rsid w:val="002B7DC7"/>
    <w:rsid w:val="002C170D"/>
    <w:rsid w:val="002C1AEB"/>
    <w:rsid w:val="002C32C3"/>
    <w:rsid w:val="002C3B0A"/>
    <w:rsid w:val="002C46FE"/>
    <w:rsid w:val="002C4F22"/>
    <w:rsid w:val="002C68C8"/>
    <w:rsid w:val="002C6FB9"/>
    <w:rsid w:val="002C7E3B"/>
    <w:rsid w:val="002D031C"/>
    <w:rsid w:val="002D0359"/>
    <w:rsid w:val="002D153E"/>
    <w:rsid w:val="002D2364"/>
    <w:rsid w:val="002D291D"/>
    <w:rsid w:val="002D4943"/>
    <w:rsid w:val="002D53C2"/>
    <w:rsid w:val="002D54AC"/>
    <w:rsid w:val="002D581D"/>
    <w:rsid w:val="002D6F3D"/>
    <w:rsid w:val="002E09BA"/>
    <w:rsid w:val="002E11F0"/>
    <w:rsid w:val="002E1637"/>
    <w:rsid w:val="002E1F1B"/>
    <w:rsid w:val="002E21A1"/>
    <w:rsid w:val="002E22BE"/>
    <w:rsid w:val="002E2A1A"/>
    <w:rsid w:val="002E30E7"/>
    <w:rsid w:val="002E322A"/>
    <w:rsid w:val="002E39FC"/>
    <w:rsid w:val="002E3BE4"/>
    <w:rsid w:val="002E4BEF"/>
    <w:rsid w:val="002E4CF6"/>
    <w:rsid w:val="002E5478"/>
    <w:rsid w:val="002E5DEE"/>
    <w:rsid w:val="002E7A94"/>
    <w:rsid w:val="002F03E7"/>
    <w:rsid w:val="002F09B6"/>
    <w:rsid w:val="002F0D1E"/>
    <w:rsid w:val="002F15D0"/>
    <w:rsid w:val="002F1C1B"/>
    <w:rsid w:val="002F28FA"/>
    <w:rsid w:val="002F299C"/>
    <w:rsid w:val="002F3C00"/>
    <w:rsid w:val="002F4A4B"/>
    <w:rsid w:val="002F5169"/>
    <w:rsid w:val="002F5929"/>
    <w:rsid w:val="002F5C97"/>
    <w:rsid w:val="002F72DB"/>
    <w:rsid w:val="003006D3"/>
    <w:rsid w:val="003007A8"/>
    <w:rsid w:val="00300CC1"/>
    <w:rsid w:val="00301746"/>
    <w:rsid w:val="00301D1E"/>
    <w:rsid w:val="0030253E"/>
    <w:rsid w:val="003032F1"/>
    <w:rsid w:val="00303863"/>
    <w:rsid w:val="00303D1B"/>
    <w:rsid w:val="00303F04"/>
    <w:rsid w:val="0030441F"/>
    <w:rsid w:val="00305350"/>
    <w:rsid w:val="0030716A"/>
    <w:rsid w:val="003076F6"/>
    <w:rsid w:val="003101B7"/>
    <w:rsid w:val="00312313"/>
    <w:rsid w:val="0031333F"/>
    <w:rsid w:val="00313402"/>
    <w:rsid w:val="00313756"/>
    <w:rsid w:val="00313B89"/>
    <w:rsid w:val="003140B3"/>
    <w:rsid w:val="00314BA7"/>
    <w:rsid w:val="00314D00"/>
    <w:rsid w:val="00320D1F"/>
    <w:rsid w:val="00321CAA"/>
    <w:rsid w:val="00321D7B"/>
    <w:rsid w:val="00322EE9"/>
    <w:rsid w:val="00323B4F"/>
    <w:rsid w:val="00323B57"/>
    <w:rsid w:val="003246C5"/>
    <w:rsid w:val="00324837"/>
    <w:rsid w:val="003251E2"/>
    <w:rsid w:val="00325FE2"/>
    <w:rsid w:val="00326F98"/>
    <w:rsid w:val="00327A4C"/>
    <w:rsid w:val="0033002E"/>
    <w:rsid w:val="00331E9E"/>
    <w:rsid w:val="0033201A"/>
    <w:rsid w:val="0033271D"/>
    <w:rsid w:val="003330AF"/>
    <w:rsid w:val="003348EA"/>
    <w:rsid w:val="00334D44"/>
    <w:rsid w:val="00335D63"/>
    <w:rsid w:val="003360B7"/>
    <w:rsid w:val="00337370"/>
    <w:rsid w:val="00337634"/>
    <w:rsid w:val="00340914"/>
    <w:rsid w:val="00340A9E"/>
    <w:rsid w:val="00340D76"/>
    <w:rsid w:val="00340F45"/>
    <w:rsid w:val="003426F3"/>
    <w:rsid w:val="00343295"/>
    <w:rsid w:val="0034412A"/>
    <w:rsid w:val="003447A9"/>
    <w:rsid w:val="00344B7B"/>
    <w:rsid w:val="00345905"/>
    <w:rsid w:val="00345993"/>
    <w:rsid w:val="00345B15"/>
    <w:rsid w:val="003467B9"/>
    <w:rsid w:val="003504F8"/>
    <w:rsid w:val="003505EB"/>
    <w:rsid w:val="0035181B"/>
    <w:rsid w:val="00352F6F"/>
    <w:rsid w:val="003539D3"/>
    <w:rsid w:val="00353F8C"/>
    <w:rsid w:val="003541F1"/>
    <w:rsid w:val="00354B95"/>
    <w:rsid w:val="00357934"/>
    <w:rsid w:val="003610D0"/>
    <w:rsid w:val="00361201"/>
    <w:rsid w:val="00361A5F"/>
    <w:rsid w:val="00361CD4"/>
    <w:rsid w:val="003622EF"/>
    <w:rsid w:val="00362FD7"/>
    <w:rsid w:val="00363344"/>
    <w:rsid w:val="0036337A"/>
    <w:rsid w:val="003633A8"/>
    <w:rsid w:val="00363759"/>
    <w:rsid w:val="00364602"/>
    <w:rsid w:val="0036533E"/>
    <w:rsid w:val="00366F5C"/>
    <w:rsid w:val="00366F8A"/>
    <w:rsid w:val="0036765A"/>
    <w:rsid w:val="00370319"/>
    <w:rsid w:val="00370FCE"/>
    <w:rsid w:val="003711CF"/>
    <w:rsid w:val="00372F93"/>
    <w:rsid w:val="0037355F"/>
    <w:rsid w:val="00374064"/>
    <w:rsid w:val="00374C35"/>
    <w:rsid w:val="00375241"/>
    <w:rsid w:val="00375302"/>
    <w:rsid w:val="00376829"/>
    <w:rsid w:val="00377FC8"/>
    <w:rsid w:val="00380720"/>
    <w:rsid w:val="003817FF"/>
    <w:rsid w:val="003836DC"/>
    <w:rsid w:val="0038382D"/>
    <w:rsid w:val="00383CAC"/>
    <w:rsid w:val="003844DC"/>
    <w:rsid w:val="0038514A"/>
    <w:rsid w:val="00385CC6"/>
    <w:rsid w:val="00385CF6"/>
    <w:rsid w:val="0038605B"/>
    <w:rsid w:val="00386184"/>
    <w:rsid w:val="00386D35"/>
    <w:rsid w:val="00387304"/>
    <w:rsid w:val="003879DC"/>
    <w:rsid w:val="00390F89"/>
    <w:rsid w:val="003915C8"/>
    <w:rsid w:val="00391EFC"/>
    <w:rsid w:val="003924BD"/>
    <w:rsid w:val="0039256A"/>
    <w:rsid w:val="003925FC"/>
    <w:rsid w:val="0039409A"/>
    <w:rsid w:val="00394199"/>
    <w:rsid w:val="00395001"/>
    <w:rsid w:val="00395093"/>
    <w:rsid w:val="00395375"/>
    <w:rsid w:val="003A0F02"/>
    <w:rsid w:val="003A185F"/>
    <w:rsid w:val="003A42B0"/>
    <w:rsid w:val="003A4C93"/>
    <w:rsid w:val="003A51D4"/>
    <w:rsid w:val="003A5B27"/>
    <w:rsid w:val="003A6005"/>
    <w:rsid w:val="003A68BF"/>
    <w:rsid w:val="003A6C78"/>
    <w:rsid w:val="003A6FE9"/>
    <w:rsid w:val="003A7911"/>
    <w:rsid w:val="003A7B2B"/>
    <w:rsid w:val="003A7CCF"/>
    <w:rsid w:val="003B1AB2"/>
    <w:rsid w:val="003B2185"/>
    <w:rsid w:val="003B2779"/>
    <w:rsid w:val="003B2F61"/>
    <w:rsid w:val="003B3353"/>
    <w:rsid w:val="003B438F"/>
    <w:rsid w:val="003B46B6"/>
    <w:rsid w:val="003B4780"/>
    <w:rsid w:val="003B4D5B"/>
    <w:rsid w:val="003B53E1"/>
    <w:rsid w:val="003B75A2"/>
    <w:rsid w:val="003C006D"/>
    <w:rsid w:val="003C0AF0"/>
    <w:rsid w:val="003C1919"/>
    <w:rsid w:val="003C2826"/>
    <w:rsid w:val="003C34CE"/>
    <w:rsid w:val="003C363E"/>
    <w:rsid w:val="003C4E4F"/>
    <w:rsid w:val="003C55CB"/>
    <w:rsid w:val="003C5D5A"/>
    <w:rsid w:val="003C5F40"/>
    <w:rsid w:val="003C6652"/>
    <w:rsid w:val="003C6A3F"/>
    <w:rsid w:val="003C6BE0"/>
    <w:rsid w:val="003C754A"/>
    <w:rsid w:val="003C7A8A"/>
    <w:rsid w:val="003D047A"/>
    <w:rsid w:val="003D1121"/>
    <w:rsid w:val="003D1DD6"/>
    <w:rsid w:val="003D20A0"/>
    <w:rsid w:val="003D32C2"/>
    <w:rsid w:val="003D37F3"/>
    <w:rsid w:val="003D3F14"/>
    <w:rsid w:val="003D4BEE"/>
    <w:rsid w:val="003D4FB9"/>
    <w:rsid w:val="003D6308"/>
    <w:rsid w:val="003D7712"/>
    <w:rsid w:val="003E0113"/>
    <w:rsid w:val="003E117D"/>
    <w:rsid w:val="003E1568"/>
    <w:rsid w:val="003E337D"/>
    <w:rsid w:val="003E3E95"/>
    <w:rsid w:val="003E4C20"/>
    <w:rsid w:val="003E5208"/>
    <w:rsid w:val="003E52D2"/>
    <w:rsid w:val="003E62B3"/>
    <w:rsid w:val="003E7995"/>
    <w:rsid w:val="003E7A7C"/>
    <w:rsid w:val="003F12D0"/>
    <w:rsid w:val="003F14C2"/>
    <w:rsid w:val="003F31E9"/>
    <w:rsid w:val="003F3418"/>
    <w:rsid w:val="003F420B"/>
    <w:rsid w:val="003F42A7"/>
    <w:rsid w:val="003F5705"/>
    <w:rsid w:val="003F767A"/>
    <w:rsid w:val="003F77A4"/>
    <w:rsid w:val="0040116F"/>
    <w:rsid w:val="0040170A"/>
    <w:rsid w:val="0040175C"/>
    <w:rsid w:val="0040237F"/>
    <w:rsid w:val="00403D9C"/>
    <w:rsid w:val="00404498"/>
    <w:rsid w:val="004056D7"/>
    <w:rsid w:val="00405D66"/>
    <w:rsid w:val="00406FC5"/>
    <w:rsid w:val="00407C4F"/>
    <w:rsid w:val="00407CEF"/>
    <w:rsid w:val="004128C2"/>
    <w:rsid w:val="00412CFB"/>
    <w:rsid w:val="00413C59"/>
    <w:rsid w:val="00413D5A"/>
    <w:rsid w:val="00413E20"/>
    <w:rsid w:val="004149ED"/>
    <w:rsid w:val="00414EB1"/>
    <w:rsid w:val="00415A19"/>
    <w:rsid w:val="00415B98"/>
    <w:rsid w:val="00415E65"/>
    <w:rsid w:val="00416186"/>
    <w:rsid w:val="004202C0"/>
    <w:rsid w:val="004209B4"/>
    <w:rsid w:val="004212D5"/>
    <w:rsid w:val="00423449"/>
    <w:rsid w:val="00423624"/>
    <w:rsid w:val="00423DD7"/>
    <w:rsid w:val="004242F5"/>
    <w:rsid w:val="00424312"/>
    <w:rsid w:val="00424607"/>
    <w:rsid w:val="0042472D"/>
    <w:rsid w:val="00425359"/>
    <w:rsid w:val="00426057"/>
    <w:rsid w:val="004273AA"/>
    <w:rsid w:val="00427571"/>
    <w:rsid w:val="004312C2"/>
    <w:rsid w:val="00435508"/>
    <w:rsid w:val="004355E9"/>
    <w:rsid w:val="004361D8"/>
    <w:rsid w:val="00436646"/>
    <w:rsid w:val="004377DF"/>
    <w:rsid w:val="00437D6A"/>
    <w:rsid w:val="00440639"/>
    <w:rsid w:val="00440A10"/>
    <w:rsid w:val="00440F99"/>
    <w:rsid w:val="004461CB"/>
    <w:rsid w:val="004465C2"/>
    <w:rsid w:val="00446A2B"/>
    <w:rsid w:val="00450479"/>
    <w:rsid w:val="00450727"/>
    <w:rsid w:val="00450A05"/>
    <w:rsid w:val="00450DD1"/>
    <w:rsid w:val="0045102E"/>
    <w:rsid w:val="004519DD"/>
    <w:rsid w:val="00452A35"/>
    <w:rsid w:val="0045310F"/>
    <w:rsid w:val="0045359F"/>
    <w:rsid w:val="00453925"/>
    <w:rsid w:val="0045565A"/>
    <w:rsid w:val="0045615A"/>
    <w:rsid w:val="004567D3"/>
    <w:rsid w:val="004608D1"/>
    <w:rsid w:val="00460DEE"/>
    <w:rsid w:val="0046132A"/>
    <w:rsid w:val="00461965"/>
    <w:rsid w:val="00461A4E"/>
    <w:rsid w:val="00461F48"/>
    <w:rsid w:val="00463601"/>
    <w:rsid w:val="0046370A"/>
    <w:rsid w:val="00463F0F"/>
    <w:rsid w:val="004666C5"/>
    <w:rsid w:val="004666DB"/>
    <w:rsid w:val="00467094"/>
    <w:rsid w:val="0046749B"/>
    <w:rsid w:val="004701E7"/>
    <w:rsid w:val="00470209"/>
    <w:rsid w:val="00471147"/>
    <w:rsid w:val="00471303"/>
    <w:rsid w:val="004718DE"/>
    <w:rsid w:val="00471E90"/>
    <w:rsid w:val="00475F86"/>
    <w:rsid w:val="004761AC"/>
    <w:rsid w:val="0047792F"/>
    <w:rsid w:val="00477984"/>
    <w:rsid w:val="00480CD4"/>
    <w:rsid w:val="00480F9E"/>
    <w:rsid w:val="004821B1"/>
    <w:rsid w:val="00483464"/>
    <w:rsid w:val="00483C62"/>
    <w:rsid w:val="004840E5"/>
    <w:rsid w:val="00484A72"/>
    <w:rsid w:val="004854A0"/>
    <w:rsid w:val="00485C04"/>
    <w:rsid w:val="00485D8F"/>
    <w:rsid w:val="00487117"/>
    <w:rsid w:val="004908CD"/>
    <w:rsid w:val="004908DA"/>
    <w:rsid w:val="00490AA1"/>
    <w:rsid w:val="00491250"/>
    <w:rsid w:val="004916C3"/>
    <w:rsid w:val="00494240"/>
    <w:rsid w:val="004943BE"/>
    <w:rsid w:val="0049474D"/>
    <w:rsid w:val="00494E56"/>
    <w:rsid w:val="0049528F"/>
    <w:rsid w:val="00496284"/>
    <w:rsid w:val="00496563"/>
    <w:rsid w:val="00496A4A"/>
    <w:rsid w:val="00496E87"/>
    <w:rsid w:val="00497447"/>
    <w:rsid w:val="004978D8"/>
    <w:rsid w:val="004A05F9"/>
    <w:rsid w:val="004A06FB"/>
    <w:rsid w:val="004A46D2"/>
    <w:rsid w:val="004A4EB9"/>
    <w:rsid w:val="004A53B7"/>
    <w:rsid w:val="004A54EE"/>
    <w:rsid w:val="004A5CF1"/>
    <w:rsid w:val="004A6CD9"/>
    <w:rsid w:val="004A724F"/>
    <w:rsid w:val="004B1CF6"/>
    <w:rsid w:val="004B1F3E"/>
    <w:rsid w:val="004B2E8D"/>
    <w:rsid w:val="004B302F"/>
    <w:rsid w:val="004B42BC"/>
    <w:rsid w:val="004B56D6"/>
    <w:rsid w:val="004B6E1F"/>
    <w:rsid w:val="004C19A4"/>
    <w:rsid w:val="004C3B15"/>
    <w:rsid w:val="004C4208"/>
    <w:rsid w:val="004C442C"/>
    <w:rsid w:val="004C47E7"/>
    <w:rsid w:val="004C54C2"/>
    <w:rsid w:val="004C5818"/>
    <w:rsid w:val="004D0599"/>
    <w:rsid w:val="004D122D"/>
    <w:rsid w:val="004D17B6"/>
    <w:rsid w:val="004D2A47"/>
    <w:rsid w:val="004D3143"/>
    <w:rsid w:val="004D3F4A"/>
    <w:rsid w:val="004D4CA5"/>
    <w:rsid w:val="004D7DD0"/>
    <w:rsid w:val="004E25E7"/>
    <w:rsid w:val="004E2949"/>
    <w:rsid w:val="004E41F7"/>
    <w:rsid w:val="004E5449"/>
    <w:rsid w:val="004E70E4"/>
    <w:rsid w:val="004E7365"/>
    <w:rsid w:val="004E7E16"/>
    <w:rsid w:val="004F07D6"/>
    <w:rsid w:val="004F1707"/>
    <w:rsid w:val="004F18E6"/>
    <w:rsid w:val="004F22AD"/>
    <w:rsid w:val="004F3B89"/>
    <w:rsid w:val="004F68AC"/>
    <w:rsid w:val="004F734C"/>
    <w:rsid w:val="004F7552"/>
    <w:rsid w:val="00500A89"/>
    <w:rsid w:val="005018BF"/>
    <w:rsid w:val="00502C23"/>
    <w:rsid w:val="00502D67"/>
    <w:rsid w:val="005034B5"/>
    <w:rsid w:val="00503C28"/>
    <w:rsid w:val="00505A5A"/>
    <w:rsid w:val="00505AD7"/>
    <w:rsid w:val="00505FC0"/>
    <w:rsid w:val="0050701E"/>
    <w:rsid w:val="005070B5"/>
    <w:rsid w:val="0050744D"/>
    <w:rsid w:val="00511484"/>
    <w:rsid w:val="00513131"/>
    <w:rsid w:val="00514204"/>
    <w:rsid w:val="005146DF"/>
    <w:rsid w:val="005146FF"/>
    <w:rsid w:val="005148B5"/>
    <w:rsid w:val="00514F54"/>
    <w:rsid w:val="00516405"/>
    <w:rsid w:val="00517073"/>
    <w:rsid w:val="0051734A"/>
    <w:rsid w:val="00517DD5"/>
    <w:rsid w:val="005212D4"/>
    <w:rsid w:val="00521869"/>
    <w:rsid w:val="00522444"/>
    <w:rsid w:val="005227A2"/>
    <w:rsid w:val="005230FB"/>
    <w:rsid w:val="005232A3"/>
    <w:rsid w:val="00523868"/>
    <w:rsid w:val="00524BC6"/>
    <w:rsid w:val="00525597"/>
    <w:rsid w:val="005255AC"/>
    <w:rsid w:val="005255E1"/>
    <w:rsid w:val="00525DEE"/>
    <w:rsid w:val="0052674C"/>
    <w:rsid w:val="00526951"/>
    <w:rsid w:val="00527537"/>
    <w:rsid w:val="00527725"/>
    <w:rsid w:val="0052774D"/>
    <w:rsid w:val="0053036A"/>
    <w:rsid w:val="00530383"/>
    <w:rsid w:val="00531081"/>
    <w:rsid w:val="005314ED"/>
    <w:rsid w:val="00531643"/>
    <w:rsid w:val="0053194A"/>
    <w:rsid w:val="0053298F"/>
    <w:rsid w:val="00532B79"/>
    <w:rsid w:val="00533381"/>
    <w:rsid w:val="00534301"/>
    <w:rsid w:val="00534894"/>
    <w:rsid w:val="00536481"/>
    <w:rsid w:val="00536CE6"/>
    <w:rsid w:val="005371DB"/>
    <w:rsid w:val="0053772E"/>
    <w:rsid w:val="00537B04"/>
    <w:rsid w:val="0054075F"/>
    <w:rsid w:val="00540B11"/>
    <w:rsid w:val="00541819"/>
    <w:rsid w:val="00542007"/>
    <w:rsid w:val="00542BDB"/>
    <w:rsid w:val="0054440C"/>
    <w:rsid w:val="00545CEB"/>
    <w:rsid w:val="00546766"/>
    <w:rsid w:val="005469CA"/>
    <w:rsid w:val="00546C7E"/>
    <w:rsid w:val="0054751F"/>
    <w:rsid w:val="005479AD"/>
    <w:rsid w:val="00550071"/>
    <w:rsid w:val="005503C7"/>
    <w:rsid w:val="00551385"/>
    <w:rsid w:val="00552606"/>
    <w:rsid w:val="00552BCD"/>
    <w:rsid w:val="005532D2"/>
    <w:rsid w:val="00553680"/>
    <w:rsid w:val="00553896"/>
    <w:rsid w:val="00553ED3"/>
    <w:rsid w:val="005540A8"/>
    <w:rsid w:val="00554102"/>
    <w:rsid w:val="0055474B"/>
    <w:rsid w:val="00556240"/>
    <w:rsid w:val="00556330"/>
    <w:rsid w:val="00556F0E"/>
    <w:rsid w:val="00562433"/>
    <w:rsid w:val="00563BB5"/>
    <w:rsid w:val="00564245"/>
    <w:rsid w:val="00564F9B"/>
    <w:rsid w:val="005651AB"/>
    <w:rsid w:val="00566A75"/>
    <w:rsid w:val="0056702E"/>
    <w:rsid w:val="00567982"/>
    <w:rsid w:val="00570180"/>
    <w:rsid w:val="00572AB7"/>
    <w:rsid w:val="0057404E"/>
    <w:rsid w:val="0057408C"/>
    <w:rsid w:val="00574902"/>
    <w:rsid w:val="005751FD"/>
    <w:rsid w:val="00576EF6"/>
    <w:rsid w:val="00577783"/>
    <w:rsid w:val="00580BE5"/>
    <w:rsid w:val="00581278"/>
    <w:rsid w:val="0058154D"/>
    <w:rsid w:val="00584214"/>
    <w:rsid w:val="00584FBE"/>
    <w:rsid w:val="005857E3"/>
    <w:rsid w:val="00586829"/>
    <w:rsid w:val="00586917"/>
    <w:rsid w:val="00590F21"/>
    <w:rsid w:val="005925D7"/>
    <w:rsid w:val="00592FAE"/>
    <w:rsid w:val="00593816"/>
    <w:rsid w:val="005949CD"/>
    <w:rsid w:val="00594D8A"/>
    <w:rsid w:val="0059523E"/>
    <w:rsid w:val="00595379"/>
    <w:rsid w:val="00597070"/>
    <w:rsid w:val="00597902"/>
    <w:rsid w:val="005979B1"/>
    <w:rsid w:val="00597A52"/>
    <w:rsid w:val="00597BBA"/>
    <w:rsid w:val="005A1E26"/>
    <w:rsid w:val="005A39FC"/>
    <w:rsid w:val="005A49ED"/>
    <w:rsid w:val="005A5B4E"/>
    <w:rsid w:val="005A5C13"/>
    <w:rsid w:val="005A5F92"/>
    <w:rsid w:val="005A700A"/>
    <w:rsid w:val="005A77CB"/>
    <w:rsid w:val="005A7DE8"/>
    <w:rsid w:val="005B13C1"/>
    <w:rsid w:val="005B1657"/>
    <w:rsid w:val="005B1963"/>
    <w:rsid w:val="005B20CC"/>
    <w:rsid w:val="005B30CF"/>
    <w:rsid w:val="005B35D4"/>
    <w:rsid w:val="005B3971"/>
    <w:rsid w:val="005B3E07"/>
    <w:rsid w:val="005B42E6"/>
    <w:rsid w:val="005B5630"/>
    <w:rsid w:val="005B57EC"/>
    <w:rsid w:val="005B58D9"/>
    <w:rsid w:val="005B5F7E"/>
    <w:rsid w:val="005B773B"/>
    <w:rsid w:val="005B7E00"/>
    <w:rsid w:val="005C0494"/>
    <w:rsid w:val="005C0A71"/>
    <w:rsid w:val="005C0D69"/>
    <w:rsid w:val="005C0F0B"/>
    <w:rsid w:val="005C1097"/>
    <w:rsid w:val="005C12A0"/>
    <w:rsid w:val="005C1F76"/>
    <w:rsid w:val="005C2101"/>
    <w:rsid w:val="005C277D"/>
    <w:rsid w:val="005C31DD"/>
    <w:rsid w:val="005C34F8"/>
    <w:rsid w:val="005C35C0"/>
    <w:rsid w:val="005C4A20"/>
    <w:rsid w:val="005C4CA5"/>
    <w:rsid w:val="005C58F4"/>
    <w:rsid w:val="005C5E39"/>
    <w:rsid w:val="005C6E16"/>
    <w:rsid w:val="005C70AF"/>
    <w:rsid w:val="005D1EF9"/>
    <w:rsid w:val="005D27A0"/>
    <w:rsid w:val="005D3CD6"/>
    <w:rsid w:val="005D4A3E"/>
    <w:rsid w:val="005D4B43"/>
    <w:rsid w:val="005D4CC3"/>
    <w:rsid w:val="005D541E"/>
    <w:rsid w:val="005D5E05"/>
    <w:rsid w:val="005D5E7D"/>
    <w:rsid w:val="005D7AF3"/>
    <w:rsid w:val="005D7E5B"/>
    <w:rsid w:val="005E0D58"/>
    <w:rsid w:val="005E165E"/>
    <w:rsid w:val="005E16DE"/>
    <w:rsid w:val="005E175A"/>
    <w:rsid w:val="005E2343"/>
    <w:rsid w:val="005E26DE"/>
    <w:rsid w:val="005E28FD"/>
    <w:rsid w:val="005E3435"/>
    <w:rsid w:val="005E412B"/>
    <w:rsid w:val="005E5882"/>
    <w:rsid w:val="005E58CA"/>
    <w:rsid w:val="005E65C6"/>
    <w:rsid w:val="005E6BEB"/>
    <w:rsid w:val="005F13C3"/>
    <w:rsid w:val="005F3CF6"/>
    <w:rsid w:val="005F470A"/>
    <w:rsid w:val="005F560C"/>
    <w:rsid w:val="005F56DC"/>
    <w:rsid w:val="005F612A"/>
    <w:rsid w:val="005F6703"/>
    <w:rsid w:val="005F6962"/>
    <w:rsid w:val="005F7795"/>
    <w:rsid w:val="005F7E6F"/>
    <w:rsid w:val="00600219"/>
    <w:rsid w:val="0060051B"/>
    <w:rsid w:val="00600B4E"/>
    <w:rsid w:val="0060109A"/>
    <w:rsid w:val="0060117F"/>
    <w:rsid w:val="0060137A"/>
    <w:rsid w:val="006024CC"/>
    <w:rsid w:val="00602EB4"/>
    <w:rsid w:val="006032FF"/>
    <w:rsid w:val="0060611D"/>
    <w:rsid w:val="00606308"/>
    <w:rsid w:val="00606639"/>
    <w:rsid w:val="00610960"/>
    <w:rsid w:val="00610D5F"/>
    <w:rsid w:val="00612BF0"/>
    <w:rsid w:val="00612D83"/>
    <w:rsid w:val="00614B80"/>
    <w:rsid w:val="00615377"/>
    <w:rsid w:val="006155DE"/>
    <w:rsid w:val="00615ACA"/>
    <w:rsid w:val="006177AA"/>
    <w:rsid w:val="00617A36"/>
    <w:rsid w:val="00621F9A"/>
    <w:rsid w:val="006224CD"/>
    <w:rsid w:val="0062252C"/>
    <w:rsid w:val="00622540"/>
    <w:rsid w:val="00622B78"/>
    <w:rsid w:val="00624641"/>
    <w:rsid w:val="00624BB1"/>
    <w:rsid w:val="00625072"/>
    <w:rsid w:val="00625822"/>
    <w:rsid w:val="00625829"/>
    <w:rsid w:val="00626186"/>
    <w:rsid w:val="00626391"/>
    <w:rsid w:val="00626634"/>
    <w:rsid w:val="00626A9C"/>
    <w:rsid w:val="006273B3"/>
    <w:rsid w:val="00627634"/>
    <w:rsid w:val="00627930"/>
    <w:rsid w:val="00627E47"/>
    <w:rsid w:val="00627EA3"/>
    <w:rsid w:val="00630BFD"/>
    <w:rsid w:val="0063181C"/>
    <w:rsid w:val="006319BB"/>
    <w:rsid w:val="00632737"/>
    <w:rsid w:val="006346BD"/>
    <w:rsid w:val="00635982"/>
    <w:rsid w:val="00637861"/>
    <w:rsid w:val="00637A84"/>
    <w:rsid w:val="0064322F"/>
    <w:rsid w:val="00643E70"/>
    <w:rsid w:val="00644020"/>
    <w:rsid w:val="006448EE"/>
    <w:rsid w:val="00644FFA"/>
    <w:rsid w:val="0064611C"/>
    <w:rsid w:val="006467B1"/>
    <w:rsid w:val="00646865"/>
    <w:rsid w:val="0064691E"/>
    <w:rsid w:val="0065088C"/>
    <w:rsid w:val="006509E4"/>
    <w:rsid w:val="00650C34"/>
    <w:rsid w:val="0065130C"/>
    <w:rsid w:val="00652405"/>
    <w:rsid w:val="00652971"/>
    <w:rsid w:val="006534E0"/>
    <w:rsid w:val="00654380"/>
    <w:rsid w:val="006555A0"/>
    <w:rsid w:val="00655952"/>
    <w:rsid w:val="00656C3F"/>
    <w:rsid w:val="00657545"/>
    <w:rsid w:val="006604BA"/>
    <w:rsid w:val="00661049"/>
    <w:rsid w:val="00661D56"/>
    <w:rsid w:val="006630CA"/>
    <w:rsid w:val="00664428"/>
    <w:rsid w:val="00666230"/>
    <w:rsid w:val="00667BA7"/>
    <w:rsid w:val="00667C02"/>
    <w:rsid w:val="00670360"/>
    <w:rsid w:val="00670EF4"/>
    <w:rsid w:val="00673598"/>
    <w:rsid w:val="00673A95"/>
    <w:rsid w:val="00673FDC"/>
    <w:rsid w:val="00674C7C"/>
    <w:rsid w:val="006756AE"/>
    <w:rsid w:val="0067576C"/>
    <w:rsid w:val="00675B32"/>
    <w:rsid w:val="00675DD2"/>
    <w:rsid w:val="00676510"/>
    <w:rsid w:val="00676686"/>
    <w:rsid w:val="00676EA2"/>
    <w:rsid w:val="006778BD"/>
    <w:rsid w:val="006778CA"/>
    <w:rsid w:val="00677BB9"/>
    <w:rsid w:val="00677E86"/>
    <w:rsid w:val="006804E6"/>
    <w:rsid w:val="00680E38"/>
    <w:rsid w:val="006813B4"/>
    <w:rsid w:val="00681A5A"/>
    <w:rsid w:val="00683BB5"/>
    <w:rsid w:val="006848A1"/>
    <w:rsid w:val="00684C9F"/>
    <w:rsid w:val="00684D8F"/>
    <w:rsid w:val="00685161"/>
    <w:rsid w:val="006851AF"/>
    <w:rsid w:val="00685594"/>
    <w:rsid w:val="00685D33"/>
    <w:rsid w:val="00686792"/>
    <w:rsid w:val="00686D00"/>
    <w:rsid w:val="0068787E"/>
    <w:rsid w:val="00687B10"/>
    <w:rsid w:val="00690CBB"/>
    <w:rsid w:val="00692632"/>
    <w:rsid w:val="006927FA"/>
    <w:rsid w:val="0069375A"/>
    <w:rsid w:val="00694604"/>
    <w:rsid w:val="00695AC0"/>
    <w:rsid w:val="00695FA9"/>
    <w:rsid w:val="00697A4E"/>
    <w:rsid w:val="00697A7A"/>
    <w:rsid w:val="006A0706"/>
    <w:rsid w:val="006A136A"/>
    <w:rsid w:val="006A2EAF"/>
    <w:rsid w:val="006A4F8E"/>
    <w:rsid w:val="006A500C"/>
    <w:rsid w:val="006A5770"/>
    <w:rsid w:val="006A57DE"/>
    <w:rsid w:val="006A5EF8"/>
    <w:rsid w:val="006A62B5"/>
    <w:rsid w:val="006A6A77"/>
    <w:rsid w:val="006A6B98"/>
    <w:rsid w:val="006A7514"/>
    <w:rsid w:val="006A7AE4"/>
    <w:rsid w:val="006B03CE"/>
    <w:rsid w:val="006B0C61"/>
    <w:rsid w:val="006B0DFC"/>
    <w:rsid w:val="006B2057"/>
    <w:rsid w:val="006B21E8"/>
    <w:rsid w:val="006B2891"/>
    <w:rsid w:val="006B34E2"/>
    <w:rsid w:val="006B3CEC"/>
    <w:rsid w:val="006B3FE6"/>
    <w:rsid w:val="006B4659"/>
    <w:rsid w:val="006B542A"/>
    <w:rsid w:val="006B5435"/>
    <w:rsid w:val="006B56C9"/>
    <w:rsid w:val="006B6C16"/>
    <w:rsid w:val="006B7CA6"/>
    <w:rsid w:val="006C0568"/>
    <w:rsid w:val="006C081B"/>
    <w:rsid w:val="006C1840"/>
    <w:rsid w:val="006C1DC7"/>
    <w:rsid w:val="006C2B16"/>
    <w:rsid w:val="006C2DB7"/>
    <w:rsid w:val="006C3587"/>
    <w:rsid w:val="006C35A3"/>
    <w:rsid w:val="006C4646"/>
    <w:rsid w:val="006C5AD0"/>
    <w:rsid w:val="006C60A2"/>
    <w:rsid w:val="006C6BF9"/>
    <w:rsid w:val="006D0642"/>
    <w:rsid w:val="006D1883"/>
    <w:rsid w:val="006D27F4"/>
    <w:rsid w:val="006D35E0"/>
    <w:rsid w:val="006D3A28"/>
    <w:rsid w:val="006D3E3B"/>
    <w:rsid w:val="006D3EF3"/>
    <w:rsid w:val="006D4B0F"/>
    <w:rsid w:val="006D5845"/>
    <w:rsid w:val="006D58CA"/>
    <w:rsid w:val="006D590F"/>
    <w:rsid w:val="006D6321"/>
    <w:rsid w:val="006D7011"/>
    <w:rsid w:val="006D7437"/>
    <w:rsid w:val="006D76F5"/>
    <w:rsid w:val="006E0039"/>
    <w:rsid w:val="006E0916"/>
    <w:rsid w:val="006E0A12"/>
    <w:rsid w:val="006E1109"/>
    <w:rsid w:val="006E27CD"/>
    <w:rsid w:val="006E37C6"/>
    <w:rsid w:val="006E4306"/>
    <w:rsid w:val="006E4FD9"/>
    <w:rsid w:val="006E5727"/>
    <w:rsid w:val="006E6C26"/>
    <w:rsid w:val="006E7F9F"/>
    <w:rsid w:val="006F0DF9"/>
    <w:rsid w:val="006F1713"/>
    <w:rsid w:val="006F19A2"/>
    <w:rsid w:val="006F1B46"/>
    <w:rsid w:val="006F1D9B"/>
    <w:rsid w:val="006F4722"/>
    <w:rsid w:val="006F5460"/>
    <w:rsid w:val="006F54AD"/>
    <w:rsid w:val="006F5600"/>
    <w:rsid w:val="006F5F24"/>
    <w:rsid w:val="006F7185"/>
    <w:rsid w:val="00701073"/>
    <w:rsid w:val="00701E53"/>
    <w:rsid w:val="007022A7"/>
    <w:rsid w:val="00702A51"/>
    <w:rsid w:val="0070329E"/>
    <w:rsid w:val="0070565E"/>
    <w:rsid w:val="00705723"/>
    <w:rsid w:val="00706705"/>
    <w:rsid w:val="00706809"/>
    <w:rsid w:val="007077BA"/>
    <w:rsid w:val="00707BE8"/>
    <w:rsid w:val="00710233"/>
    <w:rsid w:val="0071068D"/>
    <w:rsid w:val="0071084D"/>
    <w:rsid w:val="0071176C"/>
    <w:rsid w:val="007117FD"/>
    <w:rsid w:val="00711A62"/>
    <w:rsid w:val="00714334"/>
    <w:rsid w:val="007146CD"/>
    <w:rsid w:val="00715A82"/>
    <w:rsid w:val="00715C33"/>
    <w:rsid w:val="00717CB1"/>
    <w:rsid w:val="00717E5A"/>
    <w:rsid w:val="007202C3"/>
    <w:rsid w:val="007207D1"/>
    <w:rsid w:val="0072246C"/>
    <w:rsid w:val="00722776"/>
    <w:rsid w:val="007232BD"/>
    <w:rsid w:val="00725920"/>
    <w:rsid w:val="00730D01"/>
    <w:rsid w:val="00731813"/>
    <w:rsid w:val="00731DBF"/>
    <w:rsid w:val="0073201E"/>
    <w:rsid w:val="00732481"/>
    <w:rsid w:val="007327FD"/>
    <w:rsid w:val="00734F94"/>
    <w:rsid w:val="00735661"/>
    <w:rsid w:val="00736D51"/>
    <w:rsid w:val="0073720B"/>
    <w:rsid w:val="007406F4"/>
    <w:rsid w:val="00740F6D"/>
    <w:rsid w:val="00742DE5"/>
    <w:rsid w:val="00744948"/>
    <w:rsid w:val="007456C1"/>
    <w:rsid w:val="00745BE5"/>
    <w:rsid w:val="007473ED"/>
    <w:rsid w:val="0074778C"/>
    <w:rsid w:val="007501EE"/>
    <w:rsid w:val="00751C38"/>
    <w:rsid w:val="00752931"/>
    <w:rsid w:val="00752C77"/>
    <w:rsid w:val="007543CD"/>
    <w:rsid w:val="00754EA1"/>
    <w:rsid w:val="00756C1D"/>
    <w:rsid w:val="007578B0"/>
    <w:rsid w:val="007607E9"/>
    <w:rsid w:val="00760907"/>
    <w:rsid w:val="00761447"/>
    <w:rsid w:val="0076329E"/>
    <w:rsid w:val="00764ED5"/>
    <w:rsid w:val="007651B9"/>
    <w:rsid w:val="00767FB9"/>
    <w:rsid w:val="0077034F"/>
    <w:rsid w:val="00770AF2"/>
    <w:rsid w:val="00771A01"/>
    <w:rsid w:val="00771FD9"/>
    <w:rsid w:val="00772871"/>
    <w:rsid w:val="0077455C"/>
    <w:rsid w:val="00774ABF"/>
    <w:rsid w:val="00774E3C"/>
    <w:rsid w:val="00774FA7"/>
    <w:rsid w:val="0077561E"/>
    <w:rsid w:val="007762FD"/>
    <w:rsid w:val="007764C2"/>
    <w:rsid w:val="00776AFD"/>
    <w:rsid w:val="007779A4"/>
    <w:rsid w:val="0078046C"/>
    <w:rsid w:val="007811BD"/>
    <w:rsid w:val="00781E88"/>
    <w:rsid w:val="00784139"/>
    <w:rsid w:val="007841A3"/>
    <w:rsid w:val="00785477"/>
    <w:rsid w:val="007859D0"/>
    <w:rsid w:val="00785BED"/>
    <w:rsid w:val="007861E3"/>
    <w:rsid w:val="00790640"/>
    <w:rsid w:val="0079262B"/>
    <w:rsid w:val="00792734"/>
    <w:rsid w:val="00793E54"/>
    <w:rsid w:val="00794358"/>
    <w:rsid w:val="00794784"/>
    <w:rsid w:val="0079487E"/>
    <w:rsid w:val="00794E59"/>
    <w:rsid w:val="00796AF9"/>
    <w:rsid w:val="00797210"/>
    <w:rsid w:val="0079722F"/>
    <w:rsid w:val="0079785F"/>
    <w:rsid w:val="007A0F93"/>
    <w:rsid w:val="007A12E9"/>
    <w:rsid w:val="007A1929"/>
    <w:rsid w:val="007A1CB7"/>
    <w:rsid w:val="007A27D3"/>
    <w:rsid w:val="007A3232"/>
    <w:rsid w:val="007A3A26"/>
    <w:rsid w:val="007A44B8"/>
    <w:rsid w:val="007A4530"/>
    <w:rsid w:val="007A49CC"/>
    <w:rsid w:val="007A4B66"/>
    <w:rsid w:val="007A4DA6"/>
    <w:rsid w:val="007A6B2D"/>
    <w:rsid w:val="007A71FC"/>
    <w:rsid w:val="007A73CF"/>
    <w:rsid w:val="007A7AB7"/>
    <w:rsid w:val="007B0450"/>
    <w:rsid w:val="007B08EA"/>
    <w:rsid w:val="007B1857"/>
    <w:rsid w:val="007B1B44"/>
    <w:rsid w:val="007B20F0"/>
    <w:rsid w:val="007B28A5"/>
    <w:rsid w:val="007B3197"/>
    <w:rsid w:val="007B3BA0"/>
    <w:rsid w:val="007B5FD2"/>
    <w:rsid w:val="007B6023"/>
    <w:rsid w:val="007B6742"/>
    <w:rsid w:val="007B6E22"/>
    <w:rsid w:val="007B6FF5"/>
    <w:rsid w:val="007C11B8"/>
    <w:rsid w:val="007C1C73"/>
    <w:rsid w:val="007C3051"/>
    <w:rsid w:val="007C4D8A"/>
    <w:rsid w:val="007C59FB"/>
    <w:rsid w:val="007C6F09"/>
    <w:rsid w:val="007D05C8"/>
    <w:rsid w:val="007D05E1"/>
    <w:rsid w:val="007D0FEF"/>
    <w:rsid w:val="007D224E"/>
    <w:rsid w:val="007D2C28"/>
    <w:rsid w:val="007D349D"/>
    <w:rsid w:val="007D3803"/>
    <w:rsid w:val="007D3E87"/>
    <w:rsid w:val="007D4CD6"/>
    <w:rsid w:val="007D4E18"/>
    <w:rsid w:val="007D50FF"/>
    <w:rsid w:val="007D518A"/>
    <w:rsid w:val="007D6A62"/>
    <w:rsid w:val="007D78A2"/>
    <w:rsid w:val="007D791C"/>
    <w:rsid w:val="007E0396"/>
    <w:rsid w:val="007E044F"/>
    <w:rsid w:val="007E0C9F"/>
    <w:rsid w:val="007E0FCE"/>
    <w:rsid w:val="007E1848"/>
    <w:rsid w:val="007E203A"/>
    <w:rsid w:val="007E264C"/>
    <w:rsid w:val="007E3825"/>
    <w:rsid w:val="007E3AB5"/>
    <w:rsid w:val="007E462B"/>
    <w:rsid w:val="007E491E"/>
    <w:rsid w:val="007E55B3"/>
    <w:rsid w:val="007E5863"/>
    <w:rsid w:val="007E5AC7"/>
    <w:rsid w:val="007E5D0A"/>
    <w:rsid w:val="007E686B"/>
    <w:rsid w:val="007F00A2"/>
    <w:rsid w:val="007F06F7"/>
    <w:rsid w:val="007F0AAF"/>
    <w:rsid w:val="007F125B"/>
    <w:rsid w:val="007F1AE0"/>
    <w:rsid w:val="007F24AC"/>
    <w:rsid w:val="007F3288"/>
    <w:rsid w:val="007F343B"/>
    <w:rsid w:val="007F39C4"/>
    <w:rsid w:val="007F3CE9"/>
    <w:rsid w:val="007F5A97"/>
    <w:rsid w:val="007F6238"/>
    <w:rsid w:val="007F74AA"/>
    <w:rsid w:val="008000E8"/>
    <w:rsid w:val="00800427"/>
    <w:rsid w:val="00800752"/>
    <w:rsid w:val="008016ED"/>
    <w:rsid w:val="008021DD"/>
    <w:rsid w:val="00802421"/>
    <w:rsid w:val="00802C9C"/>
    <w:rsid w:val="008034D1"/>
    <w:rsid w:val="008038CB"/>
    <w:rsid w:val="00804009"/>
    <w:rsid w:val="00804074"/>
    <w:rsid w:val="00807263"/>
    <w:rsid w:val="00810073"/>
    <w:rsid w:val="00810C73"/>
    <w:rsid w:val="00811096"/>
    <w:rsid w:val="008119FB"/>
    <w:rsid w:val="008120D5"/>
    <w:rsid w:val="0081427F"/>
    <w:rsid w:val="00815D5F"/>
    <w:rsid w:val="00820664"/>
    <w:rsid w:val="00820E53"/>
    <w:rsid w:val="00820F97"/>
    <w:rsid w:val="008212F7"/>
    <w:rsid w:val="00821B08"/>
    <w:rsid w:val="00821B16"/>
    <w:rsid w:val="00822FA9"/>
    <w:rsid w:val="008245BC"/>
    <w:rsid w:val="008247DF"/>
    <w:rsid w:val="00824C24"/>
    <w:rsid w:val="00825DFB"/>
    <w:rsid w:val="00827044"/>
    <w:rsid w:val="0082721D"/>
    <w:rsid w:val="00830559"/>
    <w:rsid w:val="00830FD3"/>
    <w:rsid w:val="00831279"/>
    <w:rsid w:val="00831E67"/>
    <w:rsid w:val="008324C0"/>
    <w:rsid w:val="008326F6"/>
    <w:rsid w:val="008329F1"/>
    <w:rsid w:val="00832B83"/>
    <w:rsid w:val="008330FC"/>
    <w:rsid w:val="00834129"/>
    <w:rsid w:val="008341EF"/>
    <w:rsid w:val="008359F1"/>
    <w:rsid w:val="00841203"/>
    <w:rsid w:val="00841D5D"/>
    <w:rsid w:val="00841EDE"/>
    <w:rsid w:val="00843193"/>
    <w:rsid w:val="00843883"/>
    <w:rsid w:val="00844124"/>
    <w:rsid w:val="0084421B"/>
    <w:rsid w:val="00845A78"/>
    <w:rsid w:val="008463DC"/>
    <w:rsid w:val="00850650"/>
    <w:rsid w:val="008509C0"/>
    <w:rsid w:val="00850DCD"/>
    <w:rsid w:val="0085103D"/>
    <w:rsid w:val="00851065"/>
    <w:rsid w:val="0085140E"/>
    <w:rsid w:val="0085166D"/>
    <w:rsid w:val="00851B02"/>
    <w:rsid w:val="00852112"/>
    <w:rsid w:val="008525E6"/>
    <w:rsid w:val="00852902"/>
    <w:rsid w:val="00852D30"/>
    <w:rsid w:val="0085316B"/>
    <w:rsid w:val="008536FD"/>
    <w:rsid w:val="00853E23"/>
    <w:rsid w:val="00854252"/>
    <w:rsid w:val="008554EC"/>
    <w:rsid w:val="00856C13"/>
    <w:rsid w:val="00856E20"/>
    <w:rsid w:val="00857AF6"/>
    <w:rsid w:val="008602A6"/>
    <w:rsid w:val="008602E6"/>
    <w:rsid w:val="0086045A"/>
    <w:rsid w:val="0086159D"/>
    <w:rsid w:val="00861C76"/>
    <w:rsid w:val="0086212E"/>
    <w:rsid w:val="008628C6"/>
    <w:rsid w:val="00862E8F"/>
    <w:rsid w:val="00863DBF"/>
    <w:rsid w:val="008648DA"/>
    <w:rsid w:val="00864BBE"/>
    <w:rsid w:val="008663FF"/>
    <w:rsid w:val="0086648F"/>
    <w:rsid w:val="00866B31"/>
    <w:rsid w:val="00867AC5"/>
    <w:rsid w:val="00867D1E"/>
    <w:rsid w:val="008707B8"/>
    <w:rsid w:val="00871B42"/>
    <w:rsid w:val="00874B6B"/>
    <w:rsid w:val="008755B7"/>
    <w:rsid w:val="00875A9F"/>
    <w:rsid w:val="00876BC6"/>
    <w:rsid w:val="00876CEC"/>
    <w:rsid w:val="00876F7E"/>
    <w:rsid w:val="0088116B"/>
    <w:rsid w:val="008817F1"/>
    <w:rsid w:val="00881A6A"/>
    <w:rsid w:val="00881BE6"/>
    <w:rsid w:val="00881C02"/>
    <w:rsid w:val="0088744C"/>
    <w:rsid w:val="00887C46"/>
    <w:rsid w:val="00890524"/>
    <w:rsid w:val="00891A06"/>
    <w:rsid w:val="00891B3A"/>
    <w:rsid w:val="008920A6"/>
    <w:rsid w:val="00892AFF"/>
    <w:rsid w:val="0089327E"/>
    <w:rsid w:val="008942F1"/>
    <w:rsid w:val="00894DEE"/>
    <w:rsid w:val="00894E86"/>
    <w:rsid w:val="00894F36"/>
    <w:rsid w:val="00895FE1"/>
    <w:rsid w:val="00896F30"/>
    <w:rsid w:val="008A0471"/>
    <w:rsid w:val="008A15BE"/>
    <w:rsid w:val="008A19F5"/>
    <w:rsid w:val="008A1E70"/>
    <w:rsid w:val="008A220D"/>
    <w:rsid w:val="008A2982"/>
    <w:rsid w:val="008A3493"/>
    <w:rsid w:val="008A3713"/>
    <w:rsid w:val="008A496F"/>
    <w:rsid w:val="008A5027"/>
    <w:rsid w:val="008A6117"/>
    <w:rsid w:val="008A6492"/>
    <w:rsid w:val="008B059A"/>
    <w:rsid w:val="008B2971"/>
    <w:rsid w:val="008B3121"/>
    <w:rsid w:val="008B44A0"/>
    <w:rsid w:val="008B5EA7"/>
    <w:rsid w:val="008B6208"/>
    <w:rsid w:val="008B6B95"/>
    <w:rsid w:val="008B72D1"/>
    <w:rsid w:val="008B7562"/>
    <w:rsid w:val="008C0827"/>
    <w:rsid w:val="008C08D5"/>
    <w:rsid w:val="008C2159"/>
    <w:rsid w:val="008C2639"/>
    <w:rsid w:val="008C3CB2"/>
    <w:rsid w:val="008C3EBD"/>
    <w:rsid w:val="008C4A10"/>
    <w:rsid w:val="008C4B59"/>
    <w:rsid w:val="008C63AD"/>
    <w:rsid w:val="008C6889"/>
    <w:rsid w:val="008C6A31"/>
    <w:rsid w:val="008C795B"/>
    <w:rsid w:val="008D062A"/>
    <w:rsid w:val="008D11C9"/>
    <w:rsid w:val="008D2F21"/>
    <w:rsid w:val="008D354F"/>
    <w:rsid w:val="008D3780"/>
    <w:rsid w:val="008D4991"/>
    <w:rsid w:val="008D4E3A"/>
    <w:rsid w:val="008D5590"/>
    <w:rsid w:val="008D56B3"/>
    <w:rsid w:val="008D5CE5"/>
    <w:rsid w:val="008D5FB4"/>
    <w:rsid w:val="008E4E0D"/>
    <w:rsid w:val="008E54BB"/>
    <w:rsid w:val="008E5EAA"/>
    <w:rsid w:val="008E6A63"/>
    <w:rsid w:val="008E7218"/>
    <w:rsid w:val="008E729D"/>
    <w:rsid w:val="008E7442"/>
    <w:rsid w:val="008F05D1"/>
    <w:rsid w:val="008F0F1F"/>
    <w:rsid w:val="008F1DB0"/>
    <w:rsid w:val="008F5184"/>
    <w:rsid w:val="008F553F"/>
    <w:rsid w:val="008F6B43"/>
    <w:rsid w:val="008F71C6"/>
    <w:rsid w:val="008F73DE"/>
    <w:rsid w:val="008F73FB"/>
    <w:rsid w:val="00900561"/>
    <w:rsid w:val="009011A3"/>
    <w:rsid w:val="00902E90"/>
    <w:rsid w:val="009044D9"/>
    <w:rsid w:val="00904EB6"/>
    <w:rsid w:val="00904F34"/>
    <w:rsid w:val="00905F63"/>
    <w:rsid w:val="00906462"/>
    <w:rsid w:val="00906668"/>
    <w:rsid w:val="009079A0"/>
    <w:rsid w:val="00907BB5"/>
    <w:rsid w:val="00910593"/>
    <w:rsid w:val="00910FF3"/>
    <w:rsid w:val="00912147"/>
    <w:rsid w:val="009134F8"/>
    <w:rsid w:val="009135A8"/>
    <w:rsid w:val="00916BE0"/>
    <w:rsid w:val="0091708A"/>
    <w:rsid w:val="009204D7"/>
    <w:rsid w:val="00921B53"/>
    <w:rsid w:val="009223BD"/>
    <w:rsid w:val="00922413"/>
    <w:rsid w:val="009255D1"/>
    <w:rsid w:val="00930CB3"/>
    <w:rsid w:val="00930EFF"/>
    <w:rsid w:val="0093149E"/>
    <w:rsid w:val="009316B7"/>
    <w:rsid w:val="009318B6"/>
    <w:rsid w:val="00932111"/>
    <w:rsid w:val="009326B9"/>
    <w:rsid w:val="00934162"/>
    <w:rsid w:val="0093443D"/>
    <w:rsid w:val="00934A1A"/>
    <w:rsid w:val="00934AE7"/>
    <w:rsid w:val="00935C11"/>
    <w:rsid w:val="00937232"/>
    <w:rsid w:val="00937695"/>
    <w:rsid w:val="00937D24"/>
    <w:rsid w:val="009401A3"/>
    <w:rsid w:val="0094199D"/>
    <w:rsid w:val="00941C15"/>
    <w:rsid w:val="009427B3"/>
    <w:rsid w:val="0094325C"/>
    <w:rsid w:val="00943EFB"/>
    <w:rsid w:val="00945246"/>
    <w:rsid w:val="00945AAE"/>
    <w:rsid w:val="00945AC5"/>
    <w:rsid w:val="00945BDE"/>
    <w:rsid w:val="00946BFA"/>
    <w:rsid w:val="00946DB1"/>
    <w:rsid w:val="00946DD5"/>
    <w:rsid w:val="009472C4"/>
    <w:rsid w:val="0094744F"/>
    <w:rsid w:val="009474F0"/>
    <w:rsid w:val="009503B2"/>
    <w:rsid w:val="00953730"/>
    <w:rsid w:val="009548C4"/>
    <w:rsid w:val="009552E8"/>
    <w:rsid w:val="0095564C"/>
    <w:rsid w:val="00955B2B"/>
    <w:rsid w:val="00956548"/>
    <w:rsid w:val="009565A3"/>
    <w:rsid w:val="00956697"/>
    <w:rsid w:val="00956E3C"/>
    <w:rsid w:val="00957151"/>
    <w:rsid w:val="00957D14"/>
    <w:rsid w:val="009603F8"/>
    <w:rsid w:val="00960A96"/>
    <w:rsid w:val="0096121D"/>
    <w:rsid w:val="009618A2"/>
    <w:rsid w:val="00961DBC"/>
    <w:rsid w:val="00961FC2"/>
    <w:rsid w:val="00962650"/>
    <w:rsid w:val="009630EF"/>
    <w:rsid w:val="009637E4"/>
    <w:rsid w:val="00963D8A"/>
    <w:rsid w:val="009646B0"/>
    <w:rsid w:val="00964794"/>
    <w:rsid w:val="00964AEA"/>
    <w:rsid w:val="00964BB2"/>
    <w:rsid w:val="0096516A"/>
    <w:rsid w:val="00966074"/>
    <w:rsid w:val="009678F5"/>
    <w:rsid w:val="00970DF3"/>
    <w:rsid w:val="009710D2"/>
    <w:rsid w:val="00972234"/>
    <w:rsid w:val="00972323"/>
    <w:rsid w:val="009723DE"/>
    <w:rsid w:val="0097243D"/>
    <w:rsid w:val="0097275E"/>
    <w:rsid w:val="00972BE6"/>
    <w:rsid w:val="00972DB5"/>
    <w:rsid w:val="0097390F"/>
    <w:rsid w:val="00974DDB"/>
    <w:rsid w:val="00975AD7"/>
    <w:rsid w:val="00975FFC"/>
    <w:rsid w:val="00976708"/>
    <w:rsid w:val="009767EC"/>
    <w:rsid w:val="00977C36"/>
    <w:rsid w:val="009801A8"/>
    <w:rsid w:val="00980352"/>
    <w:rsid w:val="00981101"/>
    <w:rsid w:val="00982E6A"/>
    <w:rsid w:val="009839E6"/>
    <w:rsid w:val="00983EB5"/>
    <w:rsid w:val="00983FA9"/>
    <w:rsid w:val="00985523"/>
    <w:rsid w:val="0098734A"/>
    <w:rsid w:val="009879DC"/>
    <w:rsid w:val="009928A1"/>
    <w:rsid w:val="00993111"/>
    <w:rsid w:val="0099576F"/>
    <w:rsid w:val="00996EA1"/>
    <w:rsid w:val="009973B4"/>
    <w:rsid w:val="00997608"/>
    <w:rsid w:val="009A0FAC"/>
    <w:rsid w:val="009A18A9"/>
    <w:rsid w:val="009A1B26"/>
    <w:rsid w:val="009A2B3E"/>
    <w:rsid w:val="009A3924"/>
    <w:rsid w:val="009A43BA"/>
    <w:rsid w:val="009A4B59"/>
    <w:rsid w:val="009A60C5"/>
    <w:rsid w:val="009A742D"/>
    <w:rsid w:val="009A7477"/>
    <w:rsid w:val="009B09F9"/>
    <w:rsid w:val="009B251F"/>
    <w:rsid w:val="009B26F6"/>
    <w:rsid w:val="009B292A"/>
    <w:rsid w:val="009B2E5D"/>
    <w:rsid w:val="009B3614"/>
    <w:rsid w:val="009B4828"/>
    <w:rsid w:val="009B48B6"/>
    <w:rsid w:val="009B53A6"/>
    <w:rsid w:val="009B7185"/>
    <w:rsid w:val="009B787D"/>
    <w:rsid w:val="009C0CCD"/>
    <w:rsid w:val="009C0FD2"/>
    <w:rsid w:val="009C10C1"/>
    <w:rsid w:val="009C27AA"/>
    <w:rsid w:val="009C2E7B"/>
    <w:rsid w:val="009C442F"/>
    <w:rsid w:val="009C49DD"/>
    <w:rsid w:val="009C59DB"/>
    <w:rsid w:val="009C5A81"/>
    <w:rsid w:val="009C5BEB"/>
    <w:rsid w:val="009C656A"/>
    <w:rsid w:val="009D0357"/>
    <w:rsid w:val="009D06F9"/>
    <w:rsid w:val="009D1760"/>
    <w:rsid w:val="009D17E0"/>
    <w:rsid w:val="009D300A"/>
    <w:rsid w:val="009D3DEA"/>
    <w:rsid w:val="009D421D"/>
    <w:rsid w:val="009D46AB"/>
    <w:rsid w:val="009D5466"/>
    <w:rsid w:val="009D5692"/>
    <w:rsid w:val="009D660A"/>
    <w:rsid w:val="009D6A5F"/>
    <w:rsid w:val="009D749D"/>
    <w:rsid w:val="009E02B7"/>
    <w:rsid w:val="009E1872"/>
    <w:rsid w:val="009E2260"/>
    <w:rsid w:val="009E2545"/>
    <w:rsid w:val="009E3E3D"/>
    <w:rsid w:val="009E45E2"/>
    <w:rsid w:val="009E5B51"/>
    <w:rsid w:val="009E718A"/>
    <w:rsid w:val="009F0BE1"/>
    <w:rsid w:val="009F0F03"/>
    <w:rsid w:val="009F304F"/>
    <w:rsid w:val="009F3396"/>
    <w:rsid w:val="009F34FE"/>
    <w:rsid w:val="009F361C"/>
    <w:rsid w:val="009F472D"/>
    <w:rsid w:val="009F5DB4"/>
    <w:rsid w:val="009F648D"/>
    <w:rsid w:val="009F6752"/>
    <w:rsid w:val="009F6B83"/>
    <w:rsid w:val="009F7056"/>
    <w:rsid w:val="009F75B7"/>
    <w:rsid w:val="009F7612"/>
    <w:rsid w:val="009F76D1"/>
    <w:rsid w:val="009F7CAC"/>
    <w:rsid w:val="00A00DD5"/>
    <w:rsid w:val="00A0144E"/>
    <w:rsid w:val="00A01643"/>
    <w:rsid w:val="00A01BD4"/>
    <w:rsid w:val="00A01BDA"/>
    <w:rsid w:val="00A035F3"/>
    <w:rsid w:val="00A04C88"/>
    <w:rsid w:val="00A053CE"/>
    <w:rsid w:val="00A07912"/>
    <w:rsid w:val="00A10B0C"/>
    <w:rsid w:val="00A11609"/>
    <w:rsid w:val="00A13474"/>
    <w:rsid w:val="00A149B4"/>
    <w:rsid w:val="00A162D0"/>
    <w:rsid w:val="00A1799C"/>
    <w:rsid w:val="00A208FB"/>
    <w:rsid w:val="00A219F8"/>
    <w:rsid w:val="00A234C9"/>
    <w:rsid w:val="00A23D43"/>
    <w:rsid w:val="00A2736E"/>
    <w:rsid w:val="00A3117C"/>
    <w:rsid w:val="00A3135C"/>
    <w:rsid w:val="00A325FA"/>
    <w:rsid w:val="00A33D9A"/>
    <w:rsid w:val="00A341EB"/>
    <w:rsid w:val="00A34582"/>
    <w:rsid w:val="00A34D8F"/>
    <w:rsid w:val="00A35E0B"/>
    <w:rsid w:val="00A3651C"/>
    <w:rsid w:val="00A3673E"/>
    <w:rsid w:val="00A368C2"/>
    <w:rsid w:val="00A37968"/>
    <w:rsid w:val="00A40575"/>
    <w:rsid w:val="00A40682"/>
    <w:rsid w:val="00A41318"/>
    <w:rsid w:val="00A41DDA"/>
    <w:rsid w:val="00A41F6B"/>
    <w:rsid w:val="00A42304"/>
    <w:rsid w:val="00A424D3"/>
    <w:rsid w:val="00A428D6"/>
    <w:rsid w:val="00A44827"/>
    <w:rsid w:val="00A44C8E"/>
    <w:rsid w:val="00A45C56"/>
    <w:rsid w:val="00A46D00"/>
    <w:rsid w:val="00A47233"/>
    <w:rsid w:val="00A47A91"/>
    <w:rsid w:val="00A51055"/>
    <w:rsid w:val="00A529F1"/>
    <w:rsid w:val="00A52E1F"/>
    <w:rsid w:val="00A54266"/>
    <w:rsid w:val="00A5442A"/>
    <w:rsid w:val="00A54EC1"/>
    <w:rsid w:val="00A55752"/>
    <w:rsid w:val="00A567E1"/>
    <w:rsid w:val="00A56AD9"/>
    <w:rsid w:val="00A573C5"/>
    <w:rsid w:val="00A608EE"/>
    <w:rsid w:val="00A61352"/>
    <w:rsid w:val="00A621B1"/>
    <w:rsid w:val="00A6274B"/>
    <w:rsid w:val="00A62A98"/>
    <w:rsid w:val="00A6435C"/>
    <w:rsid w:val="00A64E49"/>
    <w:rsid w:val="00A65EDF"/>
    <w:rsid w:val="00A66150"/>
    <w:rsid w:val="00A663F2"/>
    <w:rsid w:val="00A66942"/>
    <w:rsid w:val="00A674DE"/>
    <w:rsid w:val="00A700CE"/>
    <w:rsid w:val="00A70210"/>
    <w:rsid w:val="00A709C1"/>
    <w:rsid w:val="00A711D5"/>
    <w:rsid w:val="00A71888"/>
    <w:rsid w:val="00A72F73"/>
    <w:rsid w:val="00A746F1"/>
    <w:rsid w:val="00A75465"/>
    <w:rsid w:val="00A77B48"/>
    <w:rsid w:val="00A8117E"/>
    <w:rsid w:val="00A82262"/>
    <w:rsid w:val="00A85645"/>
    <w:rsid w:val="00A85FA1"/>
    <w:rsid w:val="00A860C2"/>
    <w:rsid w:val="00A87586"/>
    <w:rsid w:val="00A9150F"/>
    <w:rsid w:val="00A91612"/>
    <w:rsid w:val="00A91AB0"/>
    <w:rsid w:val="00A9236E"/>
    <w:rsid w:val="00A925E8"/>
    <w:rsid w:val="00A92F2B"/>
    <w:rsid w:val="00A93054"/>
    <w:rsid w:val="00A93E93"/>
    <w:rsid w:val="00A976D8"/>
    <w:rsid w:val="00AA0C6A"/>
    <w:rsid w:val="00AA132D"/>
    <w:rsid w:val="00AA30AD"/>
    <w:rsid w:val="00AA3339"/>
    <w:rsid w:val="00AA3484"/>
    <w:rsid w:val="00AA44A2"/>
    <w:rsid w:val="00AA4A59"/>
    <w:rsid w:val="00AA6785"/>
    <w:rsid w:val="00AB193B"/>
    <w:rsid w:val="00AB19E9"/>
    <w:rsid w:val="00AB1EB4"/>
    <w:rsid w:val="00AB22B0"/>
    <w:rsid w:val="00AB2357"/>
    <w:rsid w:val="00AB417E"/>
    <w:rsid w:val="00AB6285"/>
    <w:rsid w:val="00AB6533"/>
    <w:rsid w:val="00AB7B2A"/>
    <w:rsid w:val="00AC088D"/>
    <w:rsid w:val="00AC1412"/>
    <w:rsid w:val="00AC221E"/>
    <w:rsid w:val="00AC26F6"/>
    <w:rsid w:val="00AC3B2C"/>
    <w:rsid w:val="00AC495B"/>
    <w:rsid w:val="00AC56CE"/>
    <w:rsid w:val="00AC69F5"/>
    <w:rsid w:val="00AD1994"/>
    <w:rsid w:val="00AD3828"/>
    <w:rsid w:val="00AD3A32"/>
    <w:rsid w:val="00AD5176"/>
    <w:rsid w:val="00AD622B"/>
    <w:rsid w:val="00AD6900"/>
    <w:rsid w:val="00AD6CAD"/>
    <w:rsid w:val="00AD6FF3"/>
    <w:rsid w:val="00AE08E7"/>
    <w:rsid w:val="00AE0EF5"/>
    <w:rsid w:val="00AE1455"/>
    <w:rsid w:val="00AE1CA7"/>
    <w:rsid w:val="00AE1F5C"/>
    <w:rsid w:val="00AE4523"/>
    <w:rsid w:val="00AE4A85"/>
    <w:rsid w:val="00AE5063"/>
    <w:rsid w:val="00AE6B60"/>
    <w:rsid w:val="00AF1E9F"/>
    <w:rsid w:val="00AF2341"/>
    <w:rsid w:val="00AF2A3A"/>
    <w:rsid w:val="00AF3CCA"/>
    <w:rsid w:val="00AF6160"/>
    <w:rsid w:val="00AF75CF"/>
    <w:rsid w:val="00AF7A26"/>
    <w:rsid w:val="00AF7A83"/>
    <w:rsid w:val="00B01749"/>
    <w:rsid w:val="00B034DB"/>
    <w:rsid w:val="00B04935"/>
    <w:rsid w:val="00B04E74"/>
    <w:rsid w:val="00B05D56"/>
    <w:rsid w:val="00B06251"/>
    <w:rsid w:val="00B06B3E"/>
    <w:rsid w:val="00B0791F"/>
    <w:rsid w:val="00B07E98"/>
    <w:rsid w:val="00B07F99"/>
    <w:rsid w:val="00B1137C"/>
    <w:rsid w:val="00B1264E"/>
    <w:rsid w:val="00B13706"/>
    <w:rsid w:val="00B14EC1"/>
    <w:rsid w:val="00B17ABC"/>
    <w:rsid w:val="00B2079A"/>
    <w:rsid w:val="00B21275"/>
    <w:rsid w:val="00B21338"/>
    <w:rsid w:val="00B21447"/>
    <w:rsid w:val="00B21BCE"/>
    <w:rsid w:val="00B24023"/>
    <w:rsid w:val="00B242FB"/>
    <w:rsid w:val="00B24383"/>
    <w:rsid w:val="00B255D3"/>
    <w:rsid w:val="00B25947"/>
    <w:rsid w:val="00B2665D"/>
    <w:rsid w:val="00B26CE6"/>
    <w:rsid w:val="00B27AE6"/>
    <w:rsid w:val="00B31BE4"/>
    <w:rsid w:val="00B32EAF"/>
    <w:rsid w:val="00B33321"/>
    <w:rsid w:val="00B34197"/>
    <w:rsid w:val="00B348FB"/>
    <w:rsid w:val="00B34C25"/>
    <w:rsid w:val="00B35A34"/>
    <w:rsid w:val="00B36765"/>
    <w:rsid w:val="00B36D08"/>
    <w:rsid w:val="00B373D5"/>
    <w:rsid w:val="00B37B13"/>
    <w:rsid w:val="00B37C80"/>
    <w:rsid w:val="00B400E0"/>
    <w:rsid w:val="00B40554"/>
    <w:rsid w:val="00B4094C"/>
    <w:rsid w:val="00B41322"/>
    <w:rsid w:val="00B4150F"/>
    <w:rsid w:val="00B4179E"/>
    <w:rsid w:val="00B419A3"/>
    <w:rsid w:val="00B42480"/>
    <w:rsid w:val="00B44E41"/>
    <w:rsid w:val="00B44F23"/>
    <w:rsid w:val="00B461DA"/>
    <w:rsid w:val="00B4626B"/>
    <w:rsid w:val="00B466CD"/>
    <w:rsid w:val="00B46BC6"/>
    <w:rsid w:val="00B474C5"/>
    <w:rsid w:val="00B477A3"/>
    <w:rsid w:val="00B47E82"/>
    <w:rsid w:val="00B501C8"/>
    <w:rsid w:val="00B505FD"/>
    <w:rsid w:val="00B50631"/>
    <w:rsid w:val="00B50674"/>
    <w:rsid w:val="00B50AFB"/>
    <w:rsid w:val="00B50C68"/>
    <w:rsid w:val="00B51659"/>
    <w:rsid w:val="00B52049"/>
    <w:rsid w:val="00B52396"/>
    <w:rsid w:val="00B535BD"/>
    <w:rsid w:val="00B5534C"/>
    <w:rsid w:val="00B560DE"/>
    <w:rsid w:val="00B56541"/>
    <w:rsid w:val="00B56C88"/>
    <w:rsid w:val="00B5751B"/>
    <w:rsid w:val="00B60A8F"/>
    <w:rsid w:val="00B60F7C"/>
    <w:rsid w:val="00B6329E"/>
    <w:rsid w:val="00B6337A"/>
    <w:rsid w:val="00B63CC1"/>
    <w:rsid w:val="00B64A2A"/>
    <w:rsid w:val="00B64BAC"/>
    <w:rsid w:val="00B651DE"/>
    <w:rsid w:val="00B65517"/>
    <w:rsid w:val="00B65AB8"/>
    <w:rsid w:val="00B666C7"/>
    <w:rsid w:val="00B669CE"/>
    <w:rsid w:val="00B66BE6"/>
    <w:rsid w:val="00B67186"/>
    <w:rsid w:val="00B67CE9"/>
    <w:rsid w:val="00B7019D"/>
    <w:rsid w:val="00B70454"/>
    <w:rsid w:val="00B71292"/>
    <w:rsid w:val="00B7322E"/>
    <w:rsid w:val="00B73A59"/>
    <w:rsid w:val="00B7410D"/>
    <w:rsid w:val="00B744AD"/>
    <w:rsid w:val="00B745F0"/>
    <w:rsid w:val="00B749E6"/>
    <w:rsid w:val="00B7619C"/>
    <w:rsid w:val="00B7687F"/>
    <w:rsid w:val="00B76BA1"/>
    <w:rsid w:val="00B77D76"/>
    <w:rsid w:val="00B81402"/>
    <w:rsid w:val="00B8213B"/>
    <w:rsid w:val="00B82A97"/>
    <w:rsid w:val="00B82BD3"/>
    <w:rsid w:val="00B852AA"/>
    <w:rsid w:val="00B86BEE"/>
    <w:rsid w:val="00B8757E"/>
    <w:rsid w:val="00B9009B"/>
    <w:rsid w:val="00B90248"/>
    <w:rsid w:val="00B91091"/>
    <w:rsid w:val="00B920D5"/>
    <w:rsid w:val="00B92453"/>
    <w:rsid w:val="00B92DDC"/>
    <w:rsid w:val="00B931A0"/>
    <w:rsid w:val="00B937A1"/>
    <w:rsid w:val="00B93F04"/>
    <w:rsid w:val="00B94170"/>
    <w:rsid w:val="00B94B46"/>
    <w:rsid w:val="00B94F4D"/>
    <w:rsid w:val="00B951F2"/>
    <w:rsid w:val="00B96191"/>
    <w:rsid w:val="00B967A8"/>
    <w:rsid w:val="00B97637"/>
    <w:rsid w:val="00B9778C"/>
    <w:rsid w:val="00BA0D88"/>
    <w:rsid w:val="00BA2BB8"/>
    <w:rsid w:val="00BA2C9D"/>
    <w:rsid w:val="00BA4932"/>
    <w:rsid w:val="00BA5B96"/>
    <w:rsid w:val="00BA6119"/>
    <w:rsid w:val="00BA61CD"/>
    <w:rsid w:val="00BA68AA"/>
    <w:rsid w:val="00BA6C47"/>
    <w:rsid w:val="00BB2AB2"/>
    <w:rsid w:val="00BB3083"/>
    <w:rsid w:val="00BB5D84"/>
    <w:rsid w:val="00BB7358"/>
    <w:rsid w:val="00BC2A2F"/>
    <w:rsid w:val="00BC2CC9"/>
    <w:rsid w:val="00BC3A38"/>
    <w:rsid w:val="00BC3D3B"/>
    <w:rsid w:val="00BC402E"/>
    <w:rsid w:val="00BC585D"/>
    <w:rsid w:val="00BC59A6"/>
    <w:rsid w:val="00BC5CBB"/>
    <w:rsid w:val="00BC5D3A"/>
    <w:rsid w:val="00BC5E86"/>
    <w:rsid w:val="00BC6356"/>
    <w:rsid w:val="00BC68AD"/>
    <w:rsid w:val="00BD242B"/>
    <w:rsid w:val="00BD2AED"/>
    <w:rsid w:val="00BD31D9"/>
    <w:rsid w:val="00BD40FE"/>
    <w:rsid w:val="00BD4399"/>
    <w:rsid w:val="00BD56E6"/>
    <w:rsid w:val="00BD7264"/>
    <w:rsid w:val="00BD7BBE"/>
    <w:rsid w:val="00BD7CC9"/>
    <w:rsid w:val="00BE0736"/>
    <w:rsid w:val="00BE0F26"/>
    <w:rsid w:val="00BE12DA"/>
    <w:rsid w:val="00BE3051"/>
    <w:rsid w:val="00BE3086"/>
    <w:rsid w:val="00BE3F52"/>
    <w:rsid w:val="00BE4908"/>
    <w:rsid w:val="00BE53C4"/>
    <w:rsid w:val="00BE5EFA"/>
    <w:rsid w:val="00BE7F85"/>
    <w:rsid w:val="00BF020F"/>
    <w:rsid w:val="00BF0B19"/>
    <w:rsid w:val="00BF2813"/>
    <w:rsid w:val="00BF33B4"/>
    <w:rsid w:val="00BF602B"/>
    <w:rsid w:val="00BF785C"/>
    <w:rsid w:val="00C01945"/>
    <w:rsid w:val="00C0272E"/>
    <w:rsid w:val="00C027F7"/>
    <w:rsid w:val="00C03498"/>
    <w:rsid w:val="00C03D1D"/>
    <w:rsid w:val="00C040D9"/>
    <w:rsid w:val="00C045CE"/>
    <w:rsid w:val="00C06B47"/>
    <w:rsid w:val="00C075D7"/>
    <w:rsid w:val="00C07CAF"/>
    <w:rsid w:val="00C07D11"/>
    <w:rsid w:val="00C07F84"/>
    <w:rsid w:val="00C10501"/>
    <w:rsid w:val="00C106CA"/>
    <w:rsid w:val="00C13E58"/>
    <w:rsid w:val="00C14AFD"/>
    <w:rsid w:val="00C157B0"/>
    <w:rsid w:val="00C173D0"/>
    <w:rsid w:val="00C17D74"/>
    <w:rsid w:val="00C17FCE"/>
    <w:rsid w:val="00C2006C"/>
    <w:rsid w:val="00C21996"/>
    <w:rsid w:val="00C21C97"/>
    <w:rsid w:val="00C22B4B"/>
    <w:rsid w:val="00C22C62"/>
    <w:rsid w:val="00C233C1"/>
    <w:rsid w:val="00C2543C"/>
    <w:rsid w:val="00C2604F"/>
    <w:rsid w:val="00C26D2A"/>
    <w:rsid w:val="00C2705D"/>
    <w:rsid w:val="00C27F30"/>
    <w:rsid w:val="00C31476"/>
    <w:rsid w:val="00C314A1"/>
    <w:rsid w:val="00C315B3"/>
    <w:rsid w:val="00C31A93"/>
    <w:rsid w:val="00C31E5E"/>
    <w:rsid w:val="00C322FF"/>
    <w:rsid w:val="00C32630"/>
    <w:rsid w:val="00C3374B"/>
    <w:rsid w:val="00C33A65"/>
    <w:rsid w:val="00C34C68"/>
    <w:rsid w:val="00C357C0"/>
    <w:rsid w:val="00C36281"/>
    <w:rsid w:val="00C367BF"/>
    <w:rsid w:val="00C41263"/>
    <w:rsid w:val="00C4198E"/>
    <w:rsid w:val="00C42621"/>
    <w:rsid w:val="00C432AA"/>
    <w:rsid w:val="00C443AD"/>
    <w:rsid w:val="00C4459C"/>
    <w:rsid w:val="00C453AF"/>
    <w:rsid w:val="00C461C4"/>
    <w:rsid w:val="00C466A1"/>
    <w:rsid w:val="00C46CC6"/>
    <w:rsid w:val="00C47982"/>
    <w:rsid w:val="00C50476"/>
    <w:rsid w:val="00C50814"/>
    <w:rsid w:val="00C52312"/>
    <w:rsid w:val="00C52699"/>
    <w:rsid w:val="00C52DBD"/>
    <w:rsid w:val="00C53380"/>
    <w:rsid w:val="00C53388"/>
    <w:rsid w:val="00C55614"/>
    <w:rsid w:val="00C55B41"/>
    <w:rsid w:val="00C5638F"/>
    <w:rsid w:val="00C56E97"/>
    <w:rsid w:val="00C57839"/>
    <w:rsid w:val="00C602A1"/>
    <w:rsid w:val="00C622FC"/>
    <w:rsid w:val="00C63082"/>
    <w:rsid w:val="00C63B3E"/>
    <w:rsid w:val="00C651D0"/>
    <w:rsid w:val="00C66DBA"/>
    <w:rsid w:val="00C67219"/>
    <w:rsid w:val="00C67B8E"/>
    <w:rsid w:val="00C67EE2"/>
    <w:rsid w:val="00C70168"/>
    <w:rsid w:val="00C70F5B"/>
    <w:rsid w:val="00C71B29"/>
    <w:rsid w:val="00C71C30"/>
    <w:rsid w:val="00C72E00"/>
    <w:rsid w:val="00C73422"/>
    <w:rsid w:val="00C73DFD"/>
    <w:rsid w:val="00C744FD"/>
    <w:rsid w:val="00C74F94"/>
    <w:rsid w:val="00C75699"/>
    <w:rsid w:val="00C761B3"/>
    <w:rsid w:val="00C76D42"/>
    <w:rsid w:val="00C7706A"/>
    <w:rsid w:val="00C77E0C"/>
    <w:rsid w:val="00C80393"/>
    <w:rsid w:val="00C8053B"/>
    <w:rsid w:val="00C80B68"/>
    <w:rsid w:val="00C82266"/>
    <w:rsid w:val="00C825D9"/>
    <w:rsid w:val="00C846C5"/>
    <w:rsid w:val="00C84C69"/>
    <w:rsid w:val="00C86634"/>
    <w:rsid w:val="00C8749B"/>
    <w:rsid w:val="00C905F7"/>
    <w:rsid w:val="00C90EFF"/>
    <w:rsid w:val="00C92375"/>
    <w:rsid w:val="00C9294F"/>
    <w:rsid w:val="00C92D15"/>
    <w:rsid w:val="00C93084"/>
    <w:rsid w:val="00C93207"/>
    <w:rsid w:val="00C93B52"/>
    <w:rsid w:val="00C945FD"/>
    <w:rsid w:val="00C94B75"/>
    <w:rsid w:val="00C95508"/>
    <w:rsid w:val="00C95F40"/>
    <w:rsid w:val="00C96193"/>
    <w:rsid w:val="00C9762E"/>
    <w:rsid w:val="00C97B5B"/>
    <w:rsid w:val="00CA0C64"/>
    <w:rsid w:val="00CA0FE4"/>
    <w:rsid w:val="00CA2000"/>
    <w:rsid w:val="00CA24AB"/>
    <w:rsid w:val="00CA2A9D"/>
    <w:rsid w:val="00CA2EDC"/>
    <w:rsid w:val="00CA3BAE"/>
    <w:rsid w:val="00CA5110"/>
    <w:rsid w:val="00CA51DD"/>
    <w:rsid w:val="00CA7223"/>
    <w:rsid w:val="00CA7A46"/>
    <w:rsid w:val="00CA7F65"/>
    <w:rsid w:val="00CB0C40"/>
    <w:rsid w:val="00CB18FE"/>
    <w:rsid w:val="00CB20A1"/>
    <w:rsid w:val="00CB291A"/>
    <w:rsid w:val="00CB2DB9"/>
    <w:rsid w:val="00CB359A"/>
    <w:rsid w:val="00CB3F43"/>
    <w:rsid w:val="00CB495A"/>
    <w:rsid w:val="00CB6214"/>
    <w:rsid w:val="00CB68D2"/>
    <w:rsid w:val="00CB68FE"/>
    <w:rsid w:val="00CB745D"/>
    <w:rsid w:val="00CC0979"/>
    <w:rsid w:val="00CC09C8"/>
    <w:rsid w:val="00CC2C22"/>
    <w:rsid w:val="00CC2F2D"/>
    <w:rsid w:val="00CC3E53"/>
    <w:rsid w:val="00CC44EA"/>
    <w:rsid w:val="00CC4A79"/>
    <w:rsid w:val="00CC53A9"/>
    <w:rsid w:val="00CC6A35"/>
    <w:rsid w:val="00CC6D7D"/>
    <w:rsid w:val="00CD0640"/>
    <w:rsid w:val="00CD12F5"/>
    <w:rsid w:val="00CD4547"/>
    <w:rsid w:val="00CD52AD"/>
    <w:rsid w:val="00CD57F0"/>
    <w:rsid w:val="00CD6853"/>
    <w:rsid w:val="00CE1C52"/>
    <w:rsid w:val="00CE28F0"/>
    <w:rsid w:val="00CE2C66"/>
    <w:rsid w:val="00CE44F1"/>
    <w:rsid w:val="00CE5BC0"/>
    <w:rsid w:val="00CE5CA7"/>
    <w:rsid w:val="00CE633A"/>
    <w:rsid w:val="00CE6563"/>
    <w:rsid w:val="00CF0161"/>
    <w:rsid w:val="00CF05A7"/>
    <w:rsid w:val="00CF1567"/>
    <w:rsid w:val="00CF18A6"/>
    <w:rsid w:val="00CF2B30"/>
    <w:rsid w:val="00CF3E20"/>
    <w:rsid w:val="00CF4046"/>
    <w:rsid w:val="00CF40ED"/>
    <w:rsid w:val="00CF46CE"/>
    <w:rsid w:val="00CF4994"/>
    <w:rsid w:val="00CF50E1"/>
    <w:rsid w:val="00CF50FA"/>
    <w:rsid w:val="00CF5AC3"/>
    <w:rsid w:val="00CF716B"/>
    <w:rsid w:val="00CF7955"/>
    <w:rsid w:val="00D008C5"/>
    <w:rsid w:val="00D0103E"/>
    <w:rsid w:val="00D015C2"/>
    <w:rsid w:val="00D016D8"/>
    <w:rsid w:val="00D019A8"/>
    <w:rsid w:val="00D0216E"/>
    <w:rsid w:val="00D0238B"/>
    <w:rsid w:val="00D026E3"/>
    <w:rsid w:val="00D032A8"/>
    <w:rsid w:val="00D03D79"/>
    <w:rsid w:val="00D0555D"/>
    <w:rsid w:val="00D05704"/>
    <w:rsid w:val="00D06235"/>
    <w:rsid w:val="00D063C1"/>
    <w:rsid w:val="00D06DC4"/>
    <w:rsid w:val="00D06F8B"/>
    <w:rsid w:val="00D07160"/>
    <w:rsid w:val="00D07F3B"/>
    <w:rsid w:val="00D106C7"/>
    <w:rsid w:val="00D11C59"/>
    <w:rsid w:val="00D1201E"/>
    <w:rsid w:val="00D12611"/>
    <w:rsid w:val="00D149E9"/>
    <w:rsid w:val="00D15042"/>
    <w:rsid w:val="00D15367"/>
    <w:rsid w:val="00D168BE"/>
    <w:rsid w:val="00D16A30"/>
    <w:rsid w:val="00D16C65"/>
    <w:rsid w:val="00D16C70"/>
    <w:rsid w:val="00D20B85"/>
    <w:rsid w:val="00D21E88"/>
    <w:rsid w:val="00D2295A"/>
    <w:rsid w:val="00D22E65"/>
    <w:rsid w:val="00D25515"/>
    <w:rsid w:val="00D26F3A"/>
    <w:rsid w:val="00D27044"/>
    <w:rsid w:val="00D30576"/>
    <w:rsid w:val="00D31107"/>
    <w:rsid w:val="00D31387"/>
    <w:rsid w:val="00D3156E"/>
    <w:rsid w:val="00D315C1"/>
    <w:rsid w:val="00D3339A"/>
    <w:rsid w:val="00D33A24"/>
    <w:rsid w:val="00D347C1"/>
    <w:rsid w:val="00D3558B"/>
    <w:rsid w:val="00D35C3D"/>
    <w:rsid w:val="00D421B9"/>
    <w:rsid w:val="00D43F4C"/>
    <w:rsid w:val="00D4490F"/>
    <w:rsid w:val="00D461C0"/>
    <w:rsid w:val="00D4642E"/>
    <w:rsid w:val="00D47B6B"/>
    <w:rsid w:val="00D47B78"/>
    <w:rsid w:val="00D50884"/>
    <w:rsid w:val="00D50E36"/>
    <w:rsid w:val="00D51131"/>
    <w:rsid w:val="00D5283A"/>
    <w:rsid w:val="00D53B5E"/>
    <w:rsid w:val="00D53E9C"/>
    <w:rsid w:val="00D55DBB"/>
    <w:rsid w:val="00D56724"/>
    <w:rsid w:val="00D570FD"/>
    <w:rsid w:val="00D572AC"/>
    <w:rsid w:val="00D6341B"/>
    <w:rsid w:val="00D63B96"/>
    <w:rsid w:val="00D644BF"/>
    <w:rsid w:val="00D648F6"/>
    <w:rsid w:val="00D6744E"/>
    <w:rsid w:val="00D7012B"/>
    <w:rsid w:val="00D70285"/>
    <w:rsid w:val="00D71335"/>
    <w:rsid w:val="00D7159B"/>
    <w:rsid w:val="00D71AE3"/>
    <w:rsid w:val="00D72C24"/>
    <w:rsid w:val="00D741AD"/>
    <w:rsid w:val="00D755B8"/>
    <w:rsid w:val="00D759DB"/>
    <w:rsid w:val="00D77B04"/>
    <w:rsid w:val="00D77E12"/>
    <w:rsid w:val="00D805CE"/>
    <w:rsid w:val="00D8097C"/>
    <w:rsid w:val="00D81317"/>
    <w:rsid w:val="00D8197C"/>
    <w:rsid w:val="00D82224"/>
    <w:rsid w:val="00D82B1F"/>
    <w:rsid w:val="00D835B3"/>
    <w:rsid w:val="00D846C8"/>
    <w:rsid w:val="00D84C30"/>
    <w:rsid w:val="00D870B3"/>
    <w:rsid w:val="00D875B1"/>
    <w:rsid w:val="00D900FC"/>
    <w:rsid w:val="00D942A1"/>
    <w:rsid w:val="00D960E9"/>
    <w:rsid w:val="00D96AFF"/>
    <w:rsid w:val="00D971FA"/>
    <w:rsid w:val="00D97FBD"/>
    <w:rsid w:val="00DA0035"/>
    <w:rsid w:val="00DA0B7D"/>
    <w:rsid w:val="00DA1F19"/>
    <w:rsid w:val="00DA2579"/>
    <w:rsid w:val="00DA3DF9"/>
    <w:rsid w:val="00DA44B9"/>
    <w:rsid w:val="00DA602B"/>
    <w:rsid w:val="00DA65CD"/>
    <w:rsid w:val="00DA6E68"/>
    <w:rsid w:val="00DA7467"/>
    <w:rsid w:val="00DB04FA"/>
    <w:rsid w:val="00DB0916"/>
    <w:rsid w:val="00DB1801"/>
    <w:rsid w:val="00DB346D"/>
    <w:rsid w:val="00DB451B"/>
    <w:rsid w:val="00DB4782"/>
    <w:rsid w:val="00DB4A24"/>
    <w:rsid w:val="00DB6516"/>
    <w:rsid w:val="00DB68A7"/>
    <w:rsid w:val="00DC0886"/>
    <w:rsid w:val="00DC0973"/>
    <w:rsid w:val="00DC116E"/>
    <w:rsid w:val="00DC2ADA"/>
    <w:rsid w:val="00DC30D7"/>
    <w:rsid w:val="00DC3110"/>
    <w:rsid w:val="00DC35D6"/>
    <w:rsid w:val="00DC3FAA"/>
    <w:rsid w:val="00DC4083"/>
    <w:rsid w:val="00DC47DF"/>
    <w:rsid w:val="00DC4B2B"/>
    <w:rsid w:val="00DC5CF2"/>
    <w:rsid w:val="00DC6450"/>
    <w:rsid w:val="00DC69BA"/>
    <w:rsid w:val="00DC7DB2"/>
    <w:rsid w:val="00DD1BC0"/>
    <w:rsid w:val="00DD243E"/>
    <w:rsid w:val="00DD2B70"/>
    <w:rsid w:val="00DD3C67"/>
    <w:rsid w:val="00DD5020"/>
    <w:rsid w:val="00DD50A9"/>
    <w:rsid w:val="00DD64A8"/>
    <w:rsid w:val="00DD6980"/>
    <w:rsid w:val="00DD70A2"/>
    <w:rsid w:val="00DE200A"/>
    <w:rsid w:val="00DE22BC"/>
    <w:rsid w:val="00DE2D86"/>
    <w:rsid w:val="00DE32CF"/>
    <w:rsid w:val="00DE35AA"/>
    <w:rsid w:val="00DE607D"/>
    <w:rsid w:val="00DE71D8"/>
    <w:rsid w:val="00DF374D"/>
    <w:rsid w:val="00DF3B40"/>
    <w:rsid w:val="00DF46E9"/>
    <w:rsid w:val="00DF56B1"/>
    <w:rsid w:val="00DF6627"/>
    <w:rsid w:val="00DF689D"/>
    <w:rsid w:val="00DF7B13"/>
    <w:rsid w:val="00E006FB"/>
    <w:rsid w:val="00E00DB9"/>
    <w:rsid w:val="00E0128A"/>
    <w:rsid w:val="00E01EE6"/>
    <w:rsid w:val="00E02D50"/>
    <w:rsid w:val="00E03200"/>
    <w:rsid w:val="00E03943"/>
    <w:rsid w:val="00E0458A"/>
    <w:rsid w:val="00E06AD7"/>
    <w:rsid w:val="00E06CC4"/>
    <w:rsid w:val="00E103EC"/>
    <w:rsid w:val="00E11285"/>
    <w:rsid w:val="00E11507"/>
    <w:rsid w:val="00E11D75"/>
    <w:rsid w:val="00E1241A"/>
    <w:rsid w:val="00E12F0E"/>
    <w:rsid w:val="00E13F75"/>
    <w:rsid w:val="00E149A8"/>
    <w:rsid w:val="00E14C2D"/>
    <w:rsid w:val="00E1510F"/>
    <w:rsid w:val="00E15A36"/>
    <w:rsid w:val="00E16443"/>
    <w:rsid w:val="00E16EE7"/>
    <w:rsid w:val="00E16FD9"/>
    <w:rsid w:val="00E17390"/>
    <w:rsid w:val="00E1779F"/>
    <w:rsid w:val="00E20986"/>
    <w:rsid w:val="00E21259"/>
    <w:rsid w:val="00E2361A"/>
    <w:rsid w:val="00E23ED5"/>
    <w:rsid w:val="00E24AE2"/>
    <w:rsid w:val="00E24FB9"/>
    <w:rsid w:val="00E253AC"/>
    <w:rsid w:val="00E26E56"/>
    <w:rsid w:val="00E27F56"/>
    <w:rsid w:val="00E27F68"/>
    <w:rsid w:val="00E301C4"/>
    <w:rsid w:val="00E30B8A"/>
    <w:rsid w:val="00E3105B"/>
    <w:rsid w:val="00E31EFF"/>
    <w:rsid w:val="00E32D08"/>
    <w:rsid w:val="00E3304A"/>
    <w:rsid w:val="00E33418"/>
    <w:rsid w:val="00E34DA5"/>
    <w:rsid w:val="00E35C29"/>
    <w:rsid w:val="00E364A2"/>
    <w:rsid w:val="00E36D61"/>
    <w:rsid w:val="00E40DB9"/>
    <w:rsid w:val="00E44A9D"/>
    <w:rsid w:val="00E454C8"/>
    <w:rsid w:val="00E455F4"/>
    <w:rsid w:val="00E45CE0"/>
    <w:rsid w:val="00E46659"/>
    <w:rsid w:val="00E46948"/>
    <w:rsid w:val="00E46D0A"/>
    <w:rsid w:val="00E47140"/>
    <w:rsid w:val="00E500EC"/>
    <w:rsid w:val="00E5014C"/>
    <w:rsid w:val="00E51407"/>
    <w:rsid w:val="00E51563"/>
    <w:rsid w:val="00E518F7"/>
    <w:rsid w:val="00E524AC"/>
    <w:rsid w:val="00E525E7"/>
    <w:rsid w:val="00E52BD6"/>
    <w:rsid w:val="00E533BE"/>
    <w:rsid w:val="00E54143"/>
    <w:rsid w:val="00E54FA6"/>
    <w:rsid w:val="00E5566E"/>
    <w:rsid w:val="00E55BBE"/>
    <w:rsid w:val="00E55E67"/>
    <w:rsid w:val="00E56B68"/>
    <w:rsid w:val="00E56E96"/>
    <w:rsid w:val="00E60C86"/>
    <w:rsid w:val="00E6135E"/>
    <w:rsid w:val="00E62497"/>
    <w:rsid w:val="00E6473F"/>
    <w:rsid w:val="00E64935"/>
    <w:rsid w:val="00E649E0"/>
    <w:rsid w:val="00E652D2"/>
    <w:rsid w:val="00E6571B"/>
    <w:rsid w:val="00E65C35"/>
    <w:rsid w:val="00E6606E"/>
    <w:rsid w:val="00E66987"/>
    <w:rsid w:val="00E67666"/>
    <w:rsid w:val="00E70D81"/>
    <w:rsid w:val="00E71841"/>
    <w:rsid w:val="00E738A9"/>
    <w:rsid w:val="00E73AD6"/>
    <w:rsid w:val="00E75B2D"/>
    <w:rsid w:val="00E80124"/>
    <w:rsid w:val="00E805BC"/>
    <w:rsid w:val="00E82B48"/>
    <w:rsid w:val="00E83815"/>
    <w:rsid w:val="00E83D93"/>
    <w:rsid w:val="00E84AF7"/>
    <w:rsid w:val="00E8511E"/>
    <w:rsid w:val="00E853C5"/>
    <w:rsid w:val="00E86A1E"/>
    <w:rsid w:val="00E86C33"/>
    <w:rsid w:val="00E86EAD"/>
    <w:rsid w:val="00E920CF"/>
    <w:rsid w:val="00E935AC"/>
    <w:rsid w:val="00E93827"/>
    <w:rsid w:val="00E94079"/>
    <w:rsid w:val="00E94D0D"/>
    <w:rsid w:val="00E94FFE"/>
    <w:rsid w:val="00E96EDA"/>
    <w:rsid w:val="00EA03DD"/>
    <w:rsid w:val="00EA0911"/>
    <w:rsid w:val="00EA11D5"/>
    <w:rsid w:val="00EA1D6F"/>
    <w:rsid w:val="00EA2FD5"/>
    <w:rsid w:val="00EA3AAB"/>
    <w:rsid w:val="00EA4ADE"/>
    <w:rsid w:val="00EA52EA"/>
    <w:rsid w:val="00EA59EE"/>
    <w:rsid w:val="00EA5B3D"/>
    <w:rsid w:val="00EA5C94"/>
    <w:rsid w:val="00EA63B6"/>
    <w:rsid w:val="00EA6A50"/>
    <w:rsid w:val="00EA6E1E"/>
    <w:rsid w:val="00EA77F7"/>
    <w:rsid w:val="00EA79C2"/>
    <w:rsid w:val="00EA7E2B"/>
    <w:rsid w:val="00EB08CD"/>
    <w:rsid w:val="00EB1AA9"/>
    <w:rsid w:val="00EB27FF"/>
    <w:rsid w:val="00EB4034"/>
    <w:rsid w:val="00EB468A"/>
    <w:rsid w:val="00EB5629"/>
    <w:rsid w:val="00EB5686"/>
    <w:rsid w:val="00EB5B54"/>
    <w:rsid w:val="00EB69A5"/>
    <w:rsid w:val="00EC033A"/>
    <w:rsid w:val="00EC09E7"/>
    <w:rsid w:val="00EC1335"/>
    <w:rsid w:val="00EC16D1"/>
    <w:rsid w:val="00EC16FC"/>
    <w:rsid w:val="00EC1B0E"/>
    <w:rsid w:val="00EC2077"/>
    <w:rsid w:val="00EC26F4"/>
    <w:rsid w:val="00EC28FE"/>
    <w:rsid w:val="00EC2EF3"/>
    <w:rsid w:val="00EC3166"/>
    <w:rsid w:val="00EC34D0"/>
    <w:rsid w:val="00EC52FD"/>
    <w:rsid w:val="00EC5465"/>
    <w:rsid w:val="00EC6580"/>
    <w:rsid w:val="00EC66F0"/>
    <w:rsid w:val="00EC6BEB"/>
    <w:rsid w:val="00EC6E29"/>
    <w:rsid w:val="00EC7169"/>
    <w:rsid w:val="00ED0BAC"/>
    <w:rsid w:val="00ED16AF"/>
    <w:rsid w:val="00ED19D4"/>
    <w:rsid w:val="00ED3FC8"/>
    <w:rsid w:val="00ED41B8"/>
    <w:rsid w:val="00ED4861"/>
    <w:rsid w:val="00ED5AB0"/>
    <w:rsid w:val="00ED5F66"/>
    <w:rsid w:val="00ED754B"/>
    <w:rsid w:val="00ED7A8F"/>
    <w:rsid w:val="00ED7BBB"/>
    <w:rsid w:val="00ED7BE2"/>
    <w:rsid w:val="00EE0688"/>
    <w:rsid w:val="00EE1797"/>
    <w:rsid w:val="00EE2CDC"/>
    <w:rsid w:val="00EE3305"/>
    <w:rsid w:val="00EE4CE9"/>
    <w:rsid w:val="00EE596A"/>
    <w:rsid w:val="00EE5A5B"/>
    <w:rsid w:val="00EE60F4"/>
    <w:rsid w:val="00EE7763"/>
    <w:rsid w:val="00EE7D95"/>
    <w:rsid w:val="00EF2175"/>
    <w:rsid w:val="00EF2FBC"/>
    <w:rsid w:val="00EF35DD"/>
    <w:rsid w:val="00EF397D"/>
    <w:rsid w:val="00EF408E"/>
    <w:rsid w:val="00EF442E"/>
    <w:rsid w:val="00EF4B5F"/>
    <w:rsid w:val="00EF4FD2"/>
    <w:rsid w:val="00EF6C61"/>
    <w:rsid w:val="00EF6E8C"/>
    <w:rsid w:val="00EF7445"/>
    <w:rsid w:val="00F0054D"/>
    <w:rsid w:val="00F006B9"/>
    <w:rsid w:val="00F009D9"/>
    <w:rsid w:val="00F018DF"/>
    <w:rsid w:val="00F02065"/>
    <w:rsid w:val="00F024CA"/>
    <w:rsid w:val="00F046FA"/>
    <w:rsid w:val="00F05BA1"/>
    <w:rsid w:val="00F0680C"/>
    <w:rsid w:val="00F07193"/>
    <w:rsid w:val="00F105B9"/>
    <w:rsid w:val="00F1153F"/>
    <w:rsid w:val="00F11BCD"/>
    <w:rsid w:val="00F123F2"/>
    <w:rsid w:val="00F12580"/>
    <w:rsid w:val="00F127FD"/>
    <w:rsid w:val="00F12EDF"/>
    <w:rsid w:val="00F1386F"/>
    <w:rsid w:val="00F138B9"/>
    <w:rsid w:val="00F13D80"/>
    <w:rsid w:val="00F1407B"/>
    <w:rsid w:val="00F14CB2"/>
    <w:rsid w:val="00F15AFD"/>
    <w:rsid w:val="00F16F91"/>
    <w:rsid w:val="00F21AC5"/>
    <w:rsid w:val="00F21BDC"/>
    <w:rsid w:val="00F22ADD"/>
    <w:rsid w:val="00F22EE7"/>
    <w:rsid w:val="00F23E73"/>
    <w:rsid w:val="00F23ED7"/>
    <w:rsid w:val="00F243F0"/>
    <w:rsid w:val="00F256E0"/>
    <w:rsid w:val="00F2612F"/>
    <w:rsid w:val="00F26FE2"/>
    <w:rsid w:val="00F26FF0"/>
    <w:rsid w:val="00F2704E"/>
    <w:rsid w:val="00F27BF3"/>
    <w:rsid w:val="00F3071E"/>
    <w:rsid w:val="00F309D8"/>
    <w:rsid w:val="00F30A68"/>
    <w:rsid w:val="00F318FF"/>
    <w:rsid w:val="00F326F2"/>
    <w:rsid w:val="00F330C5"/>
    <w:rsid w:val="00F33692"/>
    <w:rsid w:val="00F34721"/>
    <w:rsid w:val="00F36550"/>
    <w:rsid w:val="00F378EA"/>
    <w:rsid w:val="00F37FE5"/>
    <w:rsid w:val="00F409F6"/>
    <w:rsid w:val="00F41423"/>
    <w:rsid w:val="00F41EF3"/>
    <w:rsid w:val="00F42FDB"/>
    <w:rsid w:val="00F444D2"/>
    <w:rsid w:val="00F4526D"/>
    <w:rsid w:val="00F45E66"/>
    <w:rsid w:val="00F46615"/>
    <w:rsid w:val="00F46A36"/>
    <w:rsid w:val="00F4713B"/>
    <w:rsid w:val="00F474FF"/>
    <w:rsid w:val="00F53437"/>
    <w:rsid w:val="00F54472"/>
    <w:rsid w:val="00F544DF"/>
    <w:rsid w:val="00F54DA2"/>
    <w:rsid w:val="00F554CC"/>
    <w:rsid w:val="00F55572"/>
    <w:rsid w:val="00F55D7D"/>
    <w:rsid w:val="00F56917"/>
    <w:rsid w:val="00F56C85"/>
    <w:rsid w:val="00F616B3"/>
    <w:rsid w:val="00F6202B"/>
    <w:rsid w:val="00F66588"/>
    <w:rsid w:val="00F66B05"/>
    <w:rsid w:val="00F66BE2"/>
    <w:rsid w:val="00F66C21"/>
    <w:rsid w:val="00F67CF5"/>
    <w:rsid w:val="00F67E4C"/>
    <w:rsid w:val="00F67EA1"/>
    <w:rsid w:val="00F70599"/>
    <w:rsid w:val="00F70967"/>
    <w:rsid w:val="00F7246F"/>
    <w:rsid w:val="00F72CC5"/>
    <w:rsid w:val="00F72D96"/>
    <w:rsid w:val="00F72E68"/>
    <w:rsid w:val="00F73D6B"/>
    <w:rsid w:val="00F75AFE"/>
    <w:rsid w:val="00F80FD0"/>
    <w:rsid w:val="00F81C63"/>
    <w:rsid w:val="00F82A1D"/>
    <w:rsid w:val="00F82FFB"/>
    <w:rsid w:val="00F83F61"/>
    <w:rsid w:val="00F84C57"/>
    <w:rsid w:val="00F84F5A"/>
    <w:rsid w:val="00F85B1D"/>
    <w:rsid w:val="00F86CCF"/>
    <w:rsid w:val="00F86FA5"/>
    <w:rsid w:val="00F8726B"/>
    <w:rsid w:val="00F8746E"/>
    <w:rsid w:val="00F9065B"/>
    <w:rsid w:val="00F906A9"/>
    <w:rsid w:val="00F9098D"/>
    <w:rsid w:val="00F92FD7"/>
    <w:rsid w:val="00F944F2"/>
    <w:rsid w:val="00F9491F"/>
    <w:rsid w:val="00F956DA"/>
    <w:rsid w:val="00F95BB6"/>
    <w:rsid w:val="00F95E48"/>
    <w:rsid w:val="00F96D59"/>
    <w:rsid w:val="00F96F30"/>
    <w:rsid w:val="00F96FEF"/>
    <w:rsid w:val="00F9759D"/>
    <w:rsid w:val="00FA02F4"/>
    <w:rsid w:val="00FA0C2C"/>
    <w:rsid w:val="00FA1A6F"/>
    <w:rsid w:val="00FA1EF8"/>
    <w:rsid w:val="00FA2433"/>
    <w:rsid w:val="00FA33E8"/>
    <w:rsid w:val="00FA5743"/>
    <w:rsid w:val="00FA5770"/>
    <w:rsid w:val="00FA7050"/>
    <w:rsid w:val="00FA7667"/>
    <w:rsid w:val="00FB0DEE"/>
    <w:rsid w:val="00FB172D"/>
    <w:rsid w:val="00FB1A5C"/>
    <w:rsid w:val="00FB2AF1"/>
    <w:rsid w:val="00FB3211"/>
    <w:rsid w:val="00FB362B"/>
    <w:rsid w:val="00FB463C"/>
    <w:rsid w:val="00FB5207"/>
    <w:rsid w:val="00FB5F77"/>
    <w:rsid w:val="00FB6177"/>
    <w:rsid w:val="00FB7BBD"/>
    <w:rsid w:val="00FC0CEB"/>
    <w:rsid w:val="00FC1E9C"/>
    <w:rsid w:val="00FC3548"/>
    <w:rsid w:val="00FC4AFA"/>
    <w:rsid w:val="00FC4E31"/>
    <w:rsid w:val="00FC4F76"/>
    <w:rsid w:val="00FC526B"/>
    <w:rsid w:val="00FC5328"/>
    <w:rsid w:val="00FC7534"/>
    <w:rsid w:val="00FC7537"/>
    <w:rsid w:val="00FD018E"/>
    <w:rsid w:val="00FD1443"/>
    <w:rsid w:val="00FD266C"/>
    <w:rsid w:val="00FD3901"/>
    <w:rsid w:val="00FD5AB8"/>
    <w:rsid w:val="00FD686A"/>
    <w:rsid w:val="00FD7194"/>
    <w:rsid w:val="00FE052E"/>
    <w:rsid w:val="00FE13FF"/>
    <w:rsid w:val="00FE3084"/>
    <w:rsid w:val="00FE436B"/>
    <w:rsid w:val="00FE6623"/>
    <w:rsid w:val="00FE69F1"/>
    <w:rsid w:val="00FE7BD4"/>
    <w:rsid w:val="00FF0E5B"/>
    <w:rsid w:val="00FF19DD"/>
    <w:rsid w:val="00FF1C38"/>
    <w:rsid w:val="00FF270F"/>
    <w:rsid w:val="00FF3463"/>
    <w:rsid w:val="00FF4ABC"/>
    <w:rsid w:val="00FF4B28"/>
    <w:rsid w:val="00FF4D5B"/>
    <w:rsid w:val="00FF67F5"/>
    <w:rsid w:val="00FF6AAD"/>
    <w:rsid w:val="00FF6F3D"/>
    <w:rsid w:val="00FF7B17"/>
    <w:rsid w:val="00FF7B4C"/>
    <w:rsid w:val="011D7C2D"/>
    <w:rsid w:val="0265267F"/>
    <w:rsid w:val="04252C2D"/>
    <w:rsid w:val="059C3AA8"/>
    <w:rsid w:val="068E16E2"/>
    <w:rsid w:val="075F50C3"/>
    <w:rsid w:val="07BD00F1"/>
    <w:rsid w:val="09475556"/>
    <w:rsid w:val="0ABB6095"/>
    <w:rsid w:val="0B1172A4"/>
    <w:rsid w:val="0BC42FA0"/>
    <w:rsid w:val="0C720B4B"/>
    <w:rsid w:val="0CF658A6"/>
    <w:rsid w:val="0D6C2A13"/>
    <w:rsid w:val="0E145DDD"/>
    <w:rsid w:val="0E940BC6"/>
    <w:rsid w:val="0EC0104C"/>
    <w:rsid w:val="0F1F1FA3"/>
    <w:rsid w:val="0FB96B82"/>
    <w:rsid w:val="0FD33EC1"/>
    <w:rsid w:val="114018FF"/>
    <w:rsid w:val="116E6F34"/>
    <w:rsid w:val="12B90BDD"/>
    <w:rsid w:val="13754270"/>
    <w:rsid w:val="13E36C3F"/>
    <w:rsid w:val="15BA7960"/>
    <w:rsid w:val="15F150E9"/>
    <w:rsid w:val="16656008"/>
    <w:rsid w:val="169307C6"/>
    <w:rsid w:val="17175465"/>
    <w:rsid w:val="176A089A"/>
    <w:rsid w:val="17AA7E50"/>
    <w:rsid w:val="17FA051B"/>
    <w:rsid w:val="18420DAD"/>
    <w:rsid w:val="1877498A"/>
    <w:rsid w:val="1A956A58"/>
    <w:rsid w:val="1ABA64C2"/>
    <w:rsid w:val="1B7C7617"/>
    <w:rsid w:val="1B9513F4"/>
    <w:rsid w:val="1CB06AB3"/>
    <w:rsid w:val="1D737487"/>
    <w:rsid w:val="1DBE6EE8"/>
    <w:rsid w:val="1F481D90"/>
    <w:rsid w:val="1F8840DF"/>
    <w:rsid w:val="1F9457B6"/>
    <w:rsid w:val="200E0B20"/>
    <w:rsid w:val="20D9788C"/>
    <w:rsid w:val="21005420"/>
    <w:rsid w:val="213214D5"/>
    <w:rsid w:val="216F0F52"/>
    <w:rsid w:val="21845F26"/>
    <w:rsid w:val="22210C1A"/>
    <w:rsid w:val="227A5D4E"/>
    <w:rsid w:val="22B72A52"/>
    <w:rsid w:val="23783867"/>
    <w:rsid w:val="2381092A"/>
    <w:rsid w:val="246C0120"/>
    <w:rsid w:val="24DB3BFE"/>
    <w:rsid w:val="24E01010"/>
    <w:rsid w:val="29CB665D"/>
    <w:rsid w:val="29F801E8"/>
    <w:rsid w:val="2B334AAA"/>
    <w:rsid w:val="2B4A2378"/>
    <w:rsid w:val="2BF80E34"/>
    <w:rsid w:val="2C1D3B8A"/>
    <w:rsid w:val="2C8562A0"/>
    <w:rsid w:val="2C8C1799"/>
    <w:rsid w:val="2CC11F43"/>
    <w:rsid w:val="2DC75EE0"/>
    <w:rsid w:val="2DDD026B"/>
    <w:rsid w:val="2E287032"/>
    <w:rsid w:val="30CE742D"/>
    <w:rsid w:val="30FC734B"/>
    <w:rsid w:val="314557ED"/>
    <w:rsid w:val="31A95B1C"/>
    <w:rsid w:val="3334114F"/>
    <w:rsid w:val="33355A6C"/>
    <w:rsid w:val="3348287D"/>
    <w:rsid w:val="3351108E"/>
    <w:rsid w:val="3388524C"/>
    <w:rsid w:val="33BA657B"/>
    <w:rsid w:val="344704F5"/>
    <w:rsid w:val="34514E86"/>
    <w:rsid w:val="34F61E14"/>
    <w:rsid w:val="359C3132"/>
    <w:rsid w:val="3620266A"/>
    <w:rsid w:val="368E5CCF"/>
    <w:rsid w:val="36B10A61"/>
    <w:rsid w:val="36C633CE"/>
    <w:rsid w:val="376B39AB"/>
    <w:rsid w:val="38DB168F"/>
    <w:rsid w:val="39A95D15"/>
    <w:rsid w:val="39E014B1"/>
    <w:rsid w:val="3AA25A78"/>
    <w:rsid w:val="3AA63A5A"/>
    <w:rsid w:val="3ABB08B3"/>
    <w:rsid w:val="3AD5141F"/>
    <w:rsid w:val="3B61601C"/>
    <w:rsid w:val="3D655893"/>
    <w:rsid w:val="3EED0B94"/>
    <w:rsid w:val="3F123C0A"/>
    <w:rsid w:val="3F475EAF"/>
    <w:rsid w:val="40844DBC"/>
    <w:rsid w:val="418D196A"/>
    <w:rsid w:val="42167202"/>
    <w:rsid w:val="422F1BBE"/>
    <w:rsid w:val="436A665F"/>
    <w:rsid w:val="43BB35B7"/>
    <w:rsid w:val="43DD5536"/>
    <w:rsid w:val="43FA5BD2"/>
    <w:rsid w:val="45465DC8"/>
    <w:rsid w:val="45940AF6"/>
    <w:rsid w:val="46E0687F"/>
    <w:rsid w:val="482114CC"/>
    <w:rsid w:val="493729CB"/>
    <w:rsid w:val="497B7791"/>
    <w:rsid w:val="49DF7C8F"/>
    <w:rsid w:val="4B800019"/>
    <w:rsid w:val="4BA33C82"/>
    <w:rsid w:val="4BC824AB"/>
    <w:rsid w:val="4BCA6144"/>
    <w:rsid w:val="4BD4031B"/>
    <w:rsid w:val="4CF16CB6"/>
    <w:rsid w:val="4D1936EA"/>
    <w:rsid w:val="4D895522"/>
    <w:rsid w:val="4F063995"/>
    <w:rsid w:val="4F553FE6"/>
    <w:rsid w:val="50F83FAE"/>
    <w:rsid w:val="535F2C42"/>
    <w:rsid w:val="538320B3"/>
    <w:rsid w:val="540E4821"/>
    <w:rsid w:val="5430330C"/>
    <w:rsid w:val="55CA43F8"/>
    <w:rsid w:val="565A7770"/>
    <w:rsid w:val="573F2B34"/>
    <w:rsid w:val="57610689"/>
    <w:rsid w:val="58BE0402"/>
    <w:rsid w:val="5A2C775B"/>
    <w:rsid w:val="5A441F26"/>
    <w:rsid w:val="5A841DC0"/>
    <w:rsid w:val="5ADE0685"/>
    <w:rsid w:val="5B03556E"/>
    <w:rsid w:val="5BA6164B"/>
    <w:rsid w:val="5BDD469F"/>
    <w:rsid w:val="5CD66D13"/>
    <w:rsid w:val="5D796A43"/>
    <w:rsid w:val="5D8267F8"/>
    <w:rsid w:val="5EC732D1"/>
    <w:rsid w:val="5EF152A1"/>
    <w:rsid w:val="5FFD7810"/>
    <w:rsid w:val="63E24117"/>
    <w:rsid w:val="63FF5982"/>
    <w:rsid w:val="64383B97"/>
    <w:rsid w:val="64643431"/>
    <w:rsid w:val="64874AA7"/>
    <w:rsid w:val="65BF7FD5"/>
    <w:rsid w:val="66332CF6"/>
    <w:rsid w:val="665C4789"/>
    <w:rsid w:val="66AE3478"/>
    <w:rsid w:val="67044800"/>
    <w:rsid w:val="678144B2"/>
    <w:rsid w:val="67DE30CA"/>
    <w:rsid w:val="68252685"/>
    <w:rsid w:val="6A8D4277"/>
    <w:rsid w:val="6C3D04AD"/>
    <w:rsid w:val="6C776D7E"/>
    <w:rsid w:val="6CFC6500"/>
    <w:rsid w:val="6E847FB5"/>
    <w:rsid w:val="6ED675CA"/>
    <w:rsid w:val="6FA95F22"/>
    <w:rsid w:val="6FB1410C"/>
    <w:rsid w:val="712B0E7D"/>
    <w:rsid w:val="716D26A5"/>
    <w:rsid w:val="72486F4E"/>
    <w:rsid w:val="72D91C3B"/>
    <w:rsid w:val="72FE3240"/>
    <w:rsid w:val="737843A9"/>
    <w:rsid w:val="73892D55"/>
    <w:rsid w:val="742179AC"/>
    <w:rsid w:val="745743B1"/>
    <w:rsid w:val="75CE3164"/>
    <w:rsid w:val="76A30F8E"/>
    <w:rsid w:val="77CE056E"/>
    <w:rsid w:val="77EE6FBF"/>
    <w:rsid w:val="78A966CE"/>
    <w:rsid w:val="79A80B21"/>
    <w:rsid w:val="7A994B00"/>
    <w:rsid w:val="7D361502"/>
    <w:rsid w:val="7EEC5C32"/>
    <w:rsid w:val="7EED0DC5"/>
    <w:rsid w:val="7F290C22"/>
    <w:rsid w:val="7F974B94"/>
    <w:rsid w:val="7F977253"/>
    <w:rsid w:val="7FE8662F"/>
  </w:rsids>
  <m:mathPr>
    <m:mathFont val="Cambria Math"/>
    <m:brkBin val="before"/>
    <m:brkBinSub val="--"/>
    <m:smallFrac val="0"/>
    <m:dispDef/>
    <m:lMargin val="0"/>
    <m:rMargin val="0"/>
    <m:defJc val="centerGroup"/>
    <m:wrapIndent val="1440"/>
    <m:intLim val="subSup"/>
    <m:naryLim val="undOvr"/>
  </m:mathPr>
  <w:themeFontLang w:eastAsia="zh-CN" w:val="en-US"/>
  <w:clrSchemeMapping w:bg1="lt1" w:t1="dark1" w:bg2="lt2" w:t2="dark2" w:accent1="accent1" w:accent2="accent2" w:accent3="accent3" w:accent4="accent4" w:accent5="accent5" w:accent6="accent6" w:hyperlink="hyperlink" w:followedHyperlink="followedHyperlink" tx1="dk1" tx2="dk2"/>
  <w:decimalSymbol/>
  <w:listSeparator/>
</w:settings>
</file>

<file path=word/styles.xml><?xml version="1.0" encoding="utf-8"?>
<w:styles xmlns:wpsCustomData="http://www.wps.cn/officeDocument/2013/wpsCustomData" xmlns:w10="urn:schemas-microsoft-com:office:word" xmlns:w14="http://schemas.microsoft.com/office/word/2010/wordml" xmlns:r="http://schemas.openxmlformats.org/officeDocument/2006/relationships" xmlns:sl="http://schemas.openxmlformats.org/schemaLibrary/2006/main" xmlns:v="urn:schemas-microsoft-com:vml" xmlns:m="http://schemas.openxmlformats.org/officeDocument/2006/math" xmlns:w="http://schemas.openxmlformats.org/wordprocessingml/2006/main" xmlns:o="urn:schemas-microsoft-com:office:office" xmlns:mc="http://schemas.openxmlformats.org/markup-compatibility/2006" mc:Ignorable="w14">
  <w:docDefaults>
    <w:rPrDefault>
      <w:rPr>
        <w:rFonts w:ascii="Times New Roman" w:hAnsi="Times New Roman" w:eastAsia="宋体" w:cs="Times New Roman"/>
      </w:rPr>
    </w:rPrDefault>
    <w:pPrDefault/>
  </w:docDefaults>
  <w:latentStyles w:defLockedState="0" w:defSemiHidden="1" w:defUnhideWhenUsed="1" w:defQFormat="0" w:defUIPriority="99" w:count="260">
    <w:lsdException w:name="Balloon Text"/>
    <w:lsdException w:name="Block Text"/>
    <w:lsdException w:name="Body Text"/>
    <w:lsdException w:name="Body Text 2"/>
    <w:lsdException w:name="Body Text 3"/>
    <w:lsdException w:name="Body Text First Indent" w:semiHidden="0" w:unhideWhenUsed="0"/>
    <w:lsdException w:name="Body Text First Indent 2"/>
    <w:lsdException w:name="Body Text Indent"/>
    <w:lsdException w:name="Body Text Indent 2" w:semiHidden="0"/>
    <w:lsdException w:name="Body Text Indent 3"/>
    <w:lsdException w:name="Closing"/>
    <w:lsdException w:name="Colorful Grid" w:semiHidden="0" w:unhideWhenUsed="0"/>
    <w:lsdException w:name="Colorful Grid Accent 1" w:semiHidden="0" w:unhideWhenUsed="0"/>
    <w:lsdException w:name="Colorful Grid Accent 2" w:semiHidden="0" w:unhideWhenUsed="0"/>
    <w:lsdException w:name="Colorful Grid Accent 3" w:semiHidden="0" w:unhideWhenUsed="0"/>
    <w:lsdException w:name="Colorful Grid Accent 4" w:semiHidden="0" w:unhideWhenUsed="0"/>
    <w:lsdException w:name="Colorful Grid Accent 5" w:semiHidden="0" w:unhideWhenUsed="0"/>
    <w:lsdException w:name="Colorful Grid Accent 6" w:semiHidden="0" w:unhideWhenUsed="0"/>
    <w:lsdException w:name="Colorful List" w:semiHidden="0" w:unhideWhenUsed="0"/>
    <w:lsdException w:name="Colorful List Accent 1" w:semiHidden="0" w:unhideWhenUsed="0"/>
    <w:lsdException w:name="Colorful List Accent 2" w:semiHidden="0" w:unhideWhenUsed="0"/>
    <w:lsdException w:name="Colorful List Accent 3" w:semiHidden="0" w:unhideWhenUsed="0"/>
    <w:lsdException w:name="Colorful List Accent 4" w:semiHidden="0" w:unhideWhenUsed="0"/>
    <w:lsdException w:name="Colorful List Accent 5" w:semiHidden="0" w:unhideWhenUsed="0"/>
    <w:lsdException w:name="Colorful List Accent 6" w:semiHidden="0" w:unhideWhenUsed="0"/>
    <w:lsdException w:name="Colorful Shading" w:semiHidden="0" w:unhideWhenUsed="0"/>
    <w:lsdException w:name="Colorful Shading Accent 1" w:semiHidden="0" w:unhideWhenUsed="0"/>
    <w:lsdException w:name="Colorful Shading Accent 2" w:semiHidden="0" w:unhideWhenUsed="0"/>
    <w:lsdException w:name="Colorful Shading Accent 3" w:semiHidden="0" w:unhideWhenUsed="0"/>
    <w:lsdException w:name="Colorful Shading Accent 4" w:semiHidden="0" w:unhideWhenUsed="0"/>
    <w:lsdException w:name="Colorful Shading Accent 5" w:semiHidden="0" w:unhideWhenUsed="0"/>
    <w:lsdException w:name="Colorful Shading Accent 6" w:semiHidden="0" w:unhideWhenUsed="0"/>
    <w:lsdException w:name="Dark List" w:semiHidden="0" w:unhideWhenUsed="0"/>
    <w:lsdException w:name="Dark List Accent 1" w:semiHidden="0" w:unhideWhenUsed="0"/>
    <w:lsdException w:name="Dark List Accent 2" w:semiHidden="0" w:unhideWhenUsed="0"/>
    <w:lsdException w:name="Dark List Accent 3" w:semiHidden="0" w:unhideWhenUsed="0"/>
    <w:lsdException w:name="Dark List Accent 4" w:semiHidden="0" w:unhideWhenUsed="0"/>
    <w:lsdException w:name="Dark List Accent 5" w:semiHidden="0" w:unhideWhenUsed="0"/>
    <w:lsdException w:name="Dark List Accent 6" w:semiHidden="0" w:unhideWhenUsed="0"/>
    <w:lsdException w:name="Date"/>
    <w:lsdException w:name="Default Paragraph Font" w:semiHidden="0"/>
    <w:lsdException w:name="Document Map"/>
    <w:lsdException w:name="E-mail Signature"/>
    <w:lsdException w:name="Emphasis" w:semiHidden="0" w:unhideWhenUsed="0"/>
    <w:lsdException w:name="FollowedHyperlink"/>
    <w:lsdException w:name="HTML Acronym"/>
    <w:lsdException w:name="HTML Address"/>
    <w:lsdException w:name="HTML Cite"/>
    <w:lsdException w:name="HTML Code"/>
    <w:lsdException w:name="HTML Definition"/>
    <w:lsdException w:name="HTML Keyboard"/>
    <w:lsdException w:name="HTML Preformatted" w:semiHidden="0" w:unhideWhenUsed="0"/>
    <w:lsdException w:name="HTML Sample"/>
    <w:lsdException w:name="HTML Typewriter"/>
    <w:lsdException w:name="HTML Variable"/>
    <w:lsdException w:name="Hyperlink" w:semiHidden="0"/>
    <w:lsdException w:name="Light Grid" w:semiHidden="0" w:unhideWhenUsed="0"/>
    <w:lsdException w:name="Light Grid Accent 1" w:semiHidden="0" w:unhideWhenUsed="0"/>
    <w:lsdException w:name="Light Grid Accent 2" w:semiHidden="0" w:unhideWhenUsed="0"/>
    <w:lsdException w:name="Light Grid Accent 3" w:semiHidden="0" w:unhideWhenUsed="0"/>
    <w:lsdException w:name="Light Grid Accent 4" w:semiHidden="0" w:unhideWhenUsed="0"/>
    <w:lsdException w:name="Light Grid Accent 5" w:semiHidden="0" w:unhideWhenUsed="0"/>
    <w:lsdException w:name="Light Grid Accent 6" w:semiHidden="0" w:unhideWhenUsed="0"/>
    <w:lsdException w:name="Light List" w:semiHidden="0" w:unhideWhenUsed="0"/>
    <w:lsdException w:name="Light List Accent 1" w:semiHidden="0" w:unhideWhenUsed="0"/>
    <w:lsdException w:name="Light List Accent 2" w:semiHidden="0" w:unhideWhenUsed="0"/>
    <w:lsdException w:name="Light List Accent 3" w:semiHidden="0" w:unhideWhenUsed="0"/>
    <w:lsdException w:name="Light List Accent 4" w:semiHidden="0" w:unhideWhenUsed="0"/>
    <w:lsdException w:name="Light List Accent 5" w:semiHidden="0" w:unhideWhenUsed="0"/>
    <w:lsdException w:name="Light List Accent 6" w:semiHidden="0" w:unhideWhenUsed="0"/>
    <w:lsdException w:name="Light Shading" w:semiHidden="0" w:unhideWhenUsed="0"/>
    <w:lsdException w:name="Light Shading Accent 1" w:semiHidden="0" w:unhideWhenUsed="0"/>
    <w:lsdException w:name="Light Shading Accent 2" w:semiHidden="0" w:unhideWhenUsed="0"/>
    <w:lsdException w:name="Light Shading Accent 3" w:semiHidden="0" w:unhideWhenUsed="0"/>
    <w:lsdException w:name="Light Shading Accent 4" w:semiHidden="0" w:unhideWhenUsed="0"/>
    <w:lsdException w:name="Light Shading Accent 5" w:semiHidden="0" w:unhideWhenUsed="0"/>
    <w:lsdException w:name="Light Shading Accent 6" w:semiHidden="0" w:unhideWhenUsed="0"/>
    <w:lsdException w:name="List"/>
    <w:lsdException w:name="List 2"/>
    <w:lsdException w:name="List 3"/>
    <w:lsdException w:name="List 4"/>
    <w:lsdException w:name="List 5"/>
    <w:lsdException w:name="List Bullet"/>
    <w:lsdException w:name="List Bullet 2"/>
    <w:lsdException w:name="List Bullet 3"/>
    <w:lsdException w:name="List Bullet 4"/>
    <w:lsdException w:name="List Bullet 5"/>
    <w:lsdException w:name="List Continue"/>
    <w:lsdException w:name="List Continue 2"/>
    <w:lsdException w:name="List Continue 3"/>
    <w:lsdException w:name="List Continue 4"/>
    <w:lsdException w:name="List Continue 5"/>
    <w:lsdException w:name="List Number"/>
    <w:lsdException w:name="List Number 2"/>
    <w:lsdException w:name="List Number 3" w:semiHidden="0" w:unhideWhenUsed="0"/>
    <w:lsdException w:name="List Number 4"/>
    <w:lsdException w:name="List Number 5"/>
    <w:lsdException w:name="List Paragraph" w:semiHidden="0" w:unhideWhenUsed="0"/>
    <w:lsdException w:name="Medium Grid 1" w:semiHidden="0" w:unhideWhenUsed="0"/>
    <w:lsdException w:name="Medium Grid 1 Accent 1" w:semiHidden="0" w:unhideWhenUsed="0"/>
    <w:lsdException w:name="Medium Grid 1 Accent 2" w:semiHidden="0" w:unhideWhenUsed="0"/>
    <w:lsdException w:name="Medium Grid 1 Accent 3" w:semiHidden="0" w:unhideWhenUsed="0"/>
    <w:lsdException w:name="Medium Grid 1 Accent 4" w:semiHidden="0" w:unhideWhenUsed="0"/>
    <w:lsdException w:name="Medium Grid 1 Accent 5" w:semiHidden="0" w:unhideWhenUsed="0"/>
    <w:lsdException w:name="Medium Grid 1 Accent 6" w:semiHidden="0" w:unhideWhenUsed="0"/>
    <w:lsdException w:name="Medium Grid 2" w:semiHidden="0" w:unhideWhenUsed="0"/>
    <w:lsdException w:name="Medium Grid 2 Accent 1" w:semiHidden="0" w:unhideWhenUsed="0"/>
    <w:lsdException w:name="Medium Grid 2 Accent 2" w:semiHidden="0" w:unhideWhenUsed="0"/>
    <w:lsdException w:name="Medium Grid 2 Accent 3" w:semiHidden="0" w:unhideWhenUsed="0"/>
    <w:lsdException w:name="Medium Grid 2 Accent 4" w:semiHidden="0" w:unhideWhenUsed="0"/>
    <w:lsdException w:name="Medium Grid 2 Accent 5" w:semiHidden="0" w:unhideWhenUsed="0"/>
    <w:lsdException w:name="Medium Grid 2 Accent 6" w:semiHidden="0" w:unhideWhenUsed="0"/>
    <w:lsdException w:name="Medium Grid 3" w:semiHidden="0" w:unhideWhenUsed="0"/>
    <w:lsdException w:name="Medium Grid 3 Accent 1" w:semiHidden="0" w:unhideWhenUsed="0"/>
    <w:lsdException w:name="Medium Grid 3 Accent 2" w:semiHidden="0" w:unhideWhenUsed="0"/>
    <w:lsdException w:name="Medium Grid 3 Accent 3" w:semiHidden="0" w:unhideWhenUsed="0"/>
    <w:lsdException w:name="Medium Grid 3 Accent 4" w:semiHidden="0" w:unhideWhenUsed="0"/>
    <w:lsdException w:name="Medium Grid 3 Accent 5" w:semiHidden="0" w:unhideWhenUsed="0"/>
    <w:lsdException w:name="Medium Grid 3 Accent 6" w:semiHidden="0" w:unhideWhenUsed="0"/>
    <w:lsdException w:name="Medium List 1" w:semiHidden="0" w:unhideWhenUsed="0"/>
    <w:lsdException w:name="Medium List 1 Accent 1" w:semiHidden="0" w:unhideWhenUsed="0"/>
    <w:lsdException w:name="Medium List 1 Accent 2" w:semiHidden="0" w:unhideWhenUsed="0"/>
    <w:lsdException w:name="Medium List 1 Accent 3" w:semiHidden="0" w:unhideWhenUsed="0"/>
    <w:lsdException w:name="Medium List 1 Accent 4" w:semiHidden="0" w:unhideWhenUsed="0"/>
    <w:lsdException w:name="Medium List 1 Accent 5" w:semiHidden="0" w:unhideWhenUsed="0"/>
    <w:lsdException w:name="Medium List 1 Accent 6" w:semiHidden="0" w:unhideWhenUsed="0"/>
    <w:lsdException w:name="Medium List 2" w:semiHidden="0" w:unhideWhenUsed="0"/>
    <w:lsdException w:name="Medium List 2 Accent 1" w:semiHidden="0" w:unhideWhenUsed="0"/>
    <w:lsdException w:name="Medium List 2 Accent 2" w:semiHidden="0" w:unhideWhenUsed="0"/>
    <w:lsdException w:name="Medium List 2 Accent 3" w:semiHidden="0" w:unhideWhenUsed="0"/>
    <w:lsdException w:name="Medium List 2 Accent 4" w:semiHidden="0" w:unhideWhenUsed="0"/>
    <w:lsdException w:name="Medium List 2 Accent 5" w:semiHidden="0" w:unhideWhenUsed="0"/>
    <w:lsdException w:name="Medium List 2 Accent 6" w:semiHidden="0" w:unhideWhenUsed="0"/>
    <w:lsdException w:name="Medium Shading 1" w:semiHidden="0" w:unhideWhenUsed="0"/>
    <w:lsdException w:name="Medium Shading 1 Accent 1" w:semiHidden="0" w:unhideWhenUsed="0"/>
    <w:lsdException w:name="Medium Shading 1 Accent 2" w:semiHidden="0" w:unhideWhenUsed="0"/>
    <w:lsdException w:name="Medium Shading 1 Accent 3" w:semiHidden="0" w:unhideWhenUsed="0"/>
    <w:lsdException w:name="Medium Shading 1 Accent 4" w:semiHidden="0" w:unhideWhenUsed="0"/>
    <w:lsdException w:name="Medium Shading 1 Accent 5" w:semiHidden="0" w:unhideWhenUsed="0"/>
    <w:lsdException w:name="Medium Shading 1 Accent 6" w:semiHidden="0" w:unhideWhenUsed="0"/>
    <w:lsdException w:name="Medium Shading 2" w:semiHidden="0" w:unhideWhenUsed="0"/>
    <w:lsdException w:name="Medium Shading 2 Accent 1" w:semiHidden="0" w:unhideWhenUsed="0"/>
    <w:lsdException w:name="Medium Shading 2 Accent 2" w:semiHidden="0" w:unhideWhenUsed="0"/>
    <w:lsdException w:name="Medium Shading 2 Accent 3" w:semiHidden="0" w:unhideWhenUsed="0"/>
    <w:lsdException w:name="Medium Shading 2 Accent 4" w:semiHidden="0" w:unhideWhenUsed="0"/>
    <w:lsdException w:name="Medium Shading 2 Accent 5" w:semiHidden="0" w:unhideWhenUsed="0"/>
    <w:lsdException w:name="Medium Shading 2 Accent 6" w:semiHidden="0" w:unhideWhenUsed="0"/>
    <w:lsdException w:name="Message Header"/>
    <w:lsdException w:name="No Spacing" w:semiHidden="0" w:unhideWhenUsed="0"/>
    <w:lsdException w:name="Normal" w:semiHidden="0" w:unhideWhenUsed="0"/>
    <w:lsdException w:name="Normal (Web)" w:semiHidden="0" w:unhideWhenUsed="0"/>
    <w:lsdException w:name="Normal Indent" w:semiHidden="0" w:unhideWhenUsed="0"/>
    <w:lsdException w:name="Normal Table"/>
    <w:lsdException w:name="Note Heading"/>
    <w:lsdException w:name="Plain Text"/>
    <w:lsdException w:name="Salutation"/>
    <w:lsdException w:name="Signature"/>
    <w:lsdException w:name="Strong" w:semiHidden="0" w:unhideWhenUsed="0"/>
    <w:lsdException w:name="Subtitle" w:semiHidden="0" w:unhideWhenUsed="0"/>
    <w:lsdException w:name="Table 3D effects 1"/>
    <w:lsdException w:name="Table 3D effects 2"/>
    <w:lsdException w:name="Table 3D effects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Contemporary"/>
    <w:lsdException w:name="Table Elegant"/>
    <w:lsdException w:name="Table Grid" w:semiHidden="0" w:unhideWhenUsed="0"/>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Professional"/>
    <w:lsdException w:name="Table Simple 1"/>
    <w:lsdException w:name="Table Simple 2"/>
    <w:lsdException w:name="Table Simple 3"/>
    <w:lsdException w:name="Table Subtle 1"/>
    <w:lsdException w:name="Table Subtle 2"/>
    <w:lsdException w:name="Table Theme"/>
    <w:lsdException w:name="Table Web 1"/>
    <w:lsdException w:name="Table Web 2"/>
    <w:lsdException w:name="Table Web 3"/>
    <w:lsdException w:name="Title" w:semiHidden="0" w:unhideWhenUsed="0"/>
    <w:lsdException w:name="annotation reference" w:semiHidden="0" w:unhideWhenUsed="0"/>
    <w:lsdException w:name="annotation subject"/>
    <w:lsdException w:name="annotation text" w:semiHidden="0" w:unhideWhenUsed="0"/>
    <w:lsdException w:name="caption" w:semiHidden="0" w:unhideWhenUsed="0"/>
    <w:lsdException w:name="endnote reference"/>
    <w:lsdException w:name="endnote text"/>
    <w:lsdException w:name="envelope address"/>
    <w:lsdException w:name="envelope return"/>
    <w:lsdException w:name="footer" w:semiHidden="0"/>
    <w:lsdException w:name="footnote reference"/>
    <w:lsdException w:name="footnote text"/>
    <w:lsdException w:name="header" w:semiHidden="0"/>
    <w:lsdException w:name="heading 1" w:semiHidden="0" w:unhideWhenUsed="0"/>
    <w:lsdException w:name="heading 2" w:semiHidden="0"/>
    <w:lsdException w:name="heading 3" w:semiHidden="0"/>
    <w:lsdException w:name="heading 4"/>
    <w:lsdException w:name="heading 5"/>
    <w:lsdException w:name="heading 6"/>
    <w:lsdException w:name="heading 7"/>
    <w:lsdException w:name="heading 8"/>
    <w:lsdException w:name="heading 9"/>
    <w:lsdException w:name="index 1" w:unhideWhenUsed="0"/>
    <w:lsdException w:name="index 2"/>
    <w:lsdException w:name="index 3"/>
    <w:lsdException w:name="index 4"/>
    <w:lsdException w:name="index 5"/>
    <w:lsdException w:name="index 6"/>
    <w:lsdException w:name="index 7"/>
    <w:lsdException w:name="index 8"/>
    <w:lsdException w:name="index 9"/>
    <w:lsdException w:name="index heading"/>
    <w:lsdException w:name="line number"/>
    <w:lsdException w:name="macro"/>
    <w:lsdException w:name="page number"/>
    <w:lsdException w:name="table of authorities"/>
    <w:lsdException w:name="table of figures"/>
    <w:lsdException w:name="toa heading"/>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atentStyles>
  <w:style w:type="paragraph" w:styleId="1" w:default="1">
    <w:name w:val="Normal"/>
    <w:uiPriority w:val="0"/>
    <w:qFormat/>
    <w:pPr>
      <w:widowControl w:val="0"/>
      <w:jc w:val="both"/>
    </w:pPr>
    <w:rPr>
      <w:sz w:val="21"/>
      <w:lang w:val="en-US" w:eastAsia="zh-CN" w:bidi="ar-SA"/>
      <w:kern w:val="2"/>
      <w:szCs w:val="22"/>
      <w:rFonts w:asciiTheme="minorHAnsi" w:hAnsiTheme="minorHAnsi" w:eastAsiaTheme="minorEastAsia" w:cstheme="minorBidi"/>
    </w:rPr>
  </w:style>
  <w:style w:type="paragraph" w:styleId="2">
    <w:name w:val="heading 1"/>
    <w:basedOn w:val="1"/>
    <w:link w:val="40"/>
    <w:uiPriority w:val="9"/>
    <w:qFormat/>
    <w:pPr>
      <w:keepNext w:val="1"/>
      <w:keepLines w:val="1"/>
      <w:outlineLvl w:val="0"/>
      <w:spacing w:after="330" w:before="340" w:line="578" w:lineRule="auto"/>
    </w:pPr>
    <w:rPr>
      <w:b w:val="1"/>
      <w:sz w:val="44"/>
      <w:bCs/>
      <w:kern w:val="44"/>
      <w:szCs w:val="44"/>
    </w:rPr>
  </w:style>
  <w:style w:type="paragraph" w:styleId="3">
    <w:name w:val="heading 2"/>
    <w:basedOn w:val="1"/>
    <w:link w:val="61"/>
    <w:uiPriority w:val="9"/>
    <w:unhideWhenUsed/>
    <w:qFormat/>
    <w:pPr>
      <w:keepNext w:val="1"/>
      <w:keepLines w:val="1"/>
      <w:outlineLvl w:val="1"/>
      <w:spacing w:after="260" w:before="260" w:line="416" w:lineRule="auto"/>
    </w:pPr>
    <w:rPr>
      <w:b w:val="1"/>
      <w:sz w:val="32"/>
      <w:bCs/>
      <w:szCs w:val="32"/>
      <w:rFonts w:asciiTheme="majorHAnsi" w:hAnsiTheme="majorHAnsi" w:eastAsiaTheme="majorEastAsia" w:cstheme="majorBidi"/>
    </w:rPr>
  </w:style>
  <w:style w:type="paragraph" w:styleId="4">
    <w:name w:val="heading 3"/>
    <w:basedOn w:val="1"/>
    <w:link w:val="62"/>
    <w:uiPriority w:val="9"/>
    <w:unhideWhenUsed/>
    <w:qFormat/>
    <w:pPr>
      <w:keepNext w:val="1"/>
      <w:keepLines w:val="1"/>
      <w:outlineLvl w:val="2"/>
      <w:spacing w:after="260" w:before="260" w:line="416" w:lineRule="auto"/>
    </w:pPr>
    <w:rPr>
      <w:b w:val="1"/>
      <w:sz w:val="32"/>
      <w:bCs/>
      <w:szCs w:val="32"/>
    </w:rPr>
  </w:style>
  <w:style w:type="paragraph" w:styleId="5">
    <w:name w:val="heading 4"/>
    <w:basedOn w:val="1"/>
    <w:link w:val="63"/>
    <w:uiPriority w:val="9"/>
    <w:semiHidden/>
    <w:unhideWhenUsed/>
    <w:qFormat/>
    <w:pPr>
      <w:keepNext w:val="1"/>
      <w:keepLines w:val="1"/>
      <w:outlineLvl w:val="3"/>
      <w:spacing w:after="290" w:before="280" w:line="376" w:lineRule="auto"/>
    </w:pPr>
    <w:rPr>
      <w:b w:val="1"/>
      <w:sz w:val="28"/>
      <w:bCs/>
      <w:szCs w:val="28"/>
      <w:rFonts w:asciiTheme="majorHAnsi" w:hAnsiTheme="majorHAnsi" w:eastAsiaTheme="majorEastAsia" w:cstheme="majorBidi"/>
    </w:rPr>
  </w:style>
  <w:style w:type="paragraph" w:styleId="6">
    <w:name w:val="heading 5"/>
    <w:basedOn w:val="1"/>
    <w:link w:val="64"/>
    <w:uiPriority w:val="9"/>
    <w:semiHidden/>
    <w:unhideWhenUsed/>
    <w:qFormat/>
    <w:pPr>
      <w:keepNext w:val="1"/>
      <w:keepLines w:val="1"/>
      <w:outlineLvl w:val="4"/>
      <w:spacing w:after="290" w:before="280" w:line="376" w:lineRule="auto"/>
    </w:pPr>
    <w:rPr>
      <w:b w:val="1"/>
      <w:sz w:val="28"/>
      <w:bCs/>
      <w:szCs w:val="28"/>
    </w:rPr>
  </w:style>
  <w:style w:type="character" w:styleId="35" w:default="1">
    <w:name w:val="Default Paragraph Font"/>
    <w:uiPriority w:val="1"/>
    <w:unhideWhenUsed/>
    <w:qFormat/>
  </w:style>
  <w:style w:type="table" w:styleId="33" w:default="1">
    <w:name w:val="Normal Table"/>
    <w:uiPriority w:val="99"/>
    <w:semiHidden/>
    <w:unhideWhenUsed/>
    <w:tblPr>
      <w:tblCellMar>
        <w:top w:type="dxa" w:w="0.000000"/>
        <w:bottom w:type="dxa" w:w="0.000000"/>
        <w:left w:type="dxa" w:w="108.000000"/>
        <w:right w:type="dxa" w:w="108.000000"/>
      </w:tblCellMar>
    </w:tblPr>
  </w:style>
  <w:style w:type="paragraph" w:styleId="7">
    <w:name w:val="toc 7"/>
    <w:basedOn w:val="1"/>
    <w:uiPriority w:val="39"/>
    <w:unhideWhenUsed/>
    <w:qFormat/>
    <w:pPr>
      <w:jc w:val="left"/>
      <w:ind w:left="1260"/>
    </w:pPr>
    <w:rPr>
      <w:sz w:val="18"/>
      <w:szCs w:val="18"/>
      <w:rFonts w:eastAsiaTheme="minorHAnsi"/>
    </w:rPr>
  </w:style>
  <w:style w:type="paragraph" w:styleId="8">
    <w:name w:val="Normal Indent"/>
    <w:basedOn w:val="1"/>
    <w:link w:val="55"/>
    <w:uiPriority w:val="0"/>
    <w:qFormat/>
    <w:pPr>
      <w:ind w:firstLine="420" w:firstLineChars="200"/>
    </w:pPr>
    <w:rPr>
      <w:szCs w:val="24"/>
      <w:rFonts w:ascii="Times New Roman" w:hAnsi="Times New Roman" w:eastAsia="宋体" w:cs="Times New Roman"/>
    </w:rPr>
  </w:style>
  <w:style w:type="paragraph" w:styleId="9">
    <w:name w:val="caption"/>
    <w:basedOn w:val="1"/>
    <w:uiPriority w:val="0"/>
    <w:qFormat/>
    <w:pPr>
      <w:spacing w:line="360" w:lineRule="auto"/>
      <w:ind w:firstLine="200" w:firstLineChars="200"/>
    </w:pPr>
    <w:rPr>
      <w:sz w:val="20"/>
      <w:szCs w:val="20"/>
      <w:rFonts w:ascii="Cambria" w:hAnsi="Cambria" w:eastAsia="黑体" w:cs="Times New Roman"/>
    </w:rPr>
  </w:style>
  <w:style w:type="paragraph" w:styleId="10">
    <w:name w:val="annotation text"/>
    <w:basedOn w:val="1"/>
    <w:link w:val="84"/>
    <w:uiPriority w:val="0"/>
    <w:qFormat/>
    <w:pPr>
      <w:jc w:val="left"/>
      <w:spacing w:line="400" w:lineRule="exact"/>
      <w:ind w:firstLine="200" w:firstLineChars="200"/>
    </w:pPr>
  </w:style>
  <w:style w:type="paragraph" w:styleId="11">
    <w:name w:val="Body Text"/>
    <w:basedOn w:val="1"/>
    <w:link w:val="53"/>
    <w:uiPriority w:val="99"/>
    <w:semiHidden/>
    <w:unhideWhenUsed/>
    <w:qFormat/>
    <w:pPr>
      <w:spacing w:after="120"/>
    </w:pPr>
  </w:style>
  <w:style w:type="paragraph" w:styleId="12">
    <w:name w:val="Body Text Indent"/>
    <w:basedOn w:val="1"/>
    <w:link w:val="65"/>
    <w:uiPriority w:val="99"/>
    <w:semiHidden/>
    <w:unhideWhenUsed/>
    <w:qFormat/>
    <w:pPr>
      <w:spacing w:after="120"/>
      <w:ind w:left="420" w:leftChars="200"/>
    </w:pPr>
  </w:style>
  <w:style w:type="paragraph" w:styleId="13">
    <w:name w:val="List Number 3"/>
    <w:basedOn w:val="1"/>
    <w:uiPriority w:val="0"/>
    <w:qFormat/>
    <w:pPr>
      <w:numPr>
        <w:ilvl w:val="0"/>
        <w:numId w:val="1"/>
      </w:numPr>
      <w:tabs>
        <w:tab w:val="left" w:pos="1065"/>
        <w:tab w:val="clear" w:pos="780"/>
      </w:tabs>
      <w:spacing w:beforeLines="25" w:line="312" w:lineRule="auto"/>
      <w:ind w:hanging="420" w:left="2130"/>
    </w:pPr>
    <w:rPr>
      <w:szCs w:val="21"/>
      <w:rFonts w:ascii="Arial" w:hAnsi="Arial" w:eastAsia="宋体" w:cs="Arial"/>
    </w:rPr>
  </w:style>
  <w:style w:type="paragraph" w:styleId="14">
    <w:name w:val="toc 5"/>
    <w:basedOn w:val="1"/>
    <w:uiPriority w:val="39"/>
    <w:unhideWhenUsed/>
    <w:qFormat/>
    <w:pPr>
      <w:jc w:val="left"/>
      <w:ind w:left="840"/>
    </w:pPr>
    <w:rPr>
      <w:sz w:val="18"/>
      <w:szCs w:val="18"/>
      <w:rFonts w:eastAsiaTheme="minorHAnsi"/>
    </w:rPr>
  </w:style>
  <w:style w:type="paragraph" w:styleId="15">
    <w:name w:val="toc 3"/>
    <w:basedOn w:val="1"/>
    <w:uiPriority w:val="39"/>
    <w:unhideWhenUsed/>
    <w:qFormat/>
    <w:pPr>
      <w:jc w:val="left"/>
      <w:ind w:left="420"/>
    </w:pPr>
    <w:rPr>
      <w:i w:val="1"/>
      <w:sz w:val="20"/>
      <w:iCs/>
      <w:szCs w:val="20"/>
      <w:rFonts w:eastAsiaTheme="minorHAnsi"/>
    </w:rPr>
  </w:style>
  <w:style w:type="paragraph" w:styleId="16">
    <w:name w:val="toc 8"/>
    <w:basedOn w:val="1"/>
    <w:uiPriority w:val="39"/>
    <w:unhideWhenUsed/>
    <w:qFormat/>
    <w:pPr>
      <w:jc w:val="left"/>
      <w:ind w:left="1470"/>
    </w:pPr>
    <w:rPr>
      <w:sz w:val="18"/>
      <w:szCs w:val="18"/>
      <w:rFonts w:eastAsiaTheme="minorHAnsi"/>
    </w:rPr>
  </w:style>
  <w:style w:type="paragraph" w:styleId="17">
    <w:name w:val="Date"/>
    <w:basedOn w:val="1"/>
    <w:link w:val="95"/>
    <w:uiPriority w:val="99"/>
    <w:semiHidden/>
    <w:unhideWhenUsed/>
    <w:qFormat/>
    <w:pPr>
      <w:ind w:left="100" w:leftChars="2500"/>
    </w:pPr>
  </w:style>
  <w:style w:type="paragraph" w:styleId="18">
    <w:name w:val="Body Text Indent 2"/>
    <w:basedOn w:val="1"/>
    <w:link w:val="71"/>
    <w:uiPriority w:val="99"/>
    <w:unhideWhenUsed/>
    <w:qFormat/>
    <w:pPr>
      <w:spacing w:after="120" w:line="480" w:lineRule="auto"/>
      <w:ind w:left="420" w:leftChars="200"/>
    </w:pPr>
  </w:style>
  <w:style w:type="paragraph" w:styleId="19">
    <w:name w:val="Balloon Text"/>
    <w:basedOn w:val="1"/>
    <w:link w:val="83"/>
    <w:uiPriority w:val="99"/>
    <w:semiHidden/>
    <w:unhideWhenUsed/>
    <w:qFormat/>
    <w:rPr>
      <w:sz w:val="18"/>
      <w:szCs w:val="18"/>
    </w:rPr>
  </w:style>
  <w:style w:type="paragraph" w:styleId="20">
    <w:name w:val="footer"/>
    <w:basedOn w:val="1"/>
    <w:link w:val="52"/>
    <w:uiPriority w:val="99"/>
    <w:unhideWhenUsed/>
    <w:qFormat/>
    <w:pPr>
      <w:snapToGrid w:val="0"/>
      <w:jc w:val="left"/>
      <w:tabs>
        <w:tab w:val="center" w:pos="4153"/>
        <w:tab w:val="right" w:pos="8306"/>
      </w:tabs>
    </w:pPr>
    <w:rPr>
      <w:sz w:val="18"/>
      <w:szCs w:val="18"/>
    </w:rPr>
  </w:style>
  <w:style w:type="paragraph" w:styleId="21">
    <w:name w:val="header"/>
    <w:basedOn w:val="1"/>
    <w:link w:val="51"/>
    <w:uiPriority w:val="99"/>
    <w:unhideWhenUsed/>
    <w:qFormat/>
    <w:pPr>
      <w:snapToGrid w:val="0"/>
      <w:jc w:val="center"/>
      <w:pBdr>
        <w:bottom w:val="single" w:color="auto" w:sz="6" w:space="1"/>
      </w:pBdr>
      <w:tabs>
        <w:tab w:val="center" w:pos="4153"/>
        <w:tab w:val="right" w:pos="8306"/>
      </w:tabs>
    </w:pPr>
    <w:rPr>
      <w:sz w:val="18"/>
      <w:szCs w:val="18"/>
    </w:rPr>
  </w:style>
  <w:style w:type="paragraph" w:styleId="22">
    <w:name w:val="toc 1"/>
    <w:basedOn w:val="1"/>
    <w:link w:val="97"/>
    <w:uiPriority w:val="39"/>
    <w:unhideWhenUsed/>
    <w:qFormat/>
    <w:pPr>
      <w:jc w:val="left"/>
      <w:spacing w:after="120" w:before="120"/>
    </w:pPr>
    <w:rPr>
      <w:caps/>
      <w:b w:val="1"/>
      <w:sz w:val="20"/>
      <w:bCs/>
      <w:szCs w:val="20"/>
      <w:rFonts w:eastAsiaTheme="minorHAnsi"/>
    </w:rPr>
  </w:style>
  <w:style w:type="paragraph" w:styleId="23">
    <w:name w:val="toc 4"/>
    <w:basedOn w:val="1"/>
    <w:uiPriority w:val="39"/>
    <w:unhideWhenUsed/>
    <w:qFormat/>
    <w:pPr>
      <w:jc w:val="left"/>
      <w:ind w:left="630"/>
    </w:pPr>
    <w:rPr>
      <w:sz w:val="18"/>
      <w:szCs w:val="18"/>
      <w:rFonts w:eastAsiaTheme="minorHAnsi"/>
    </w:rPr>
  </w:style>
  <w:style w:type="paragraph" w:styleId="24">
    <w:name w:val="Subtitle"/>
    <w:basedOn w:val="1"/>
    <w:link w:val="105"/>
    <w:uiPriority w:val="11"/>
    <w:qFormat/>
    <w:pPr>
      <w:jc w:val="center"/>
      <w:outlineLvl w:val="1"/>
      <w:spacing w:after="60" w:line="312" w:lineRule="auto"/>
    </w:pPr>
    <w:rPr>
      <w:b w:val="1"/>
      <w:sz w:val="32"/>
      <w:bCs/>
      <w:kern w:val="28"/>
      <w:szCs w:val="32"/>
      <w:rFonts w:eastAsia="宋体" w:asciiTheme="majorHAnsi" w:hAnsiTheme="majorHAnsi" w:cstheme="majorBidi"/>
    </w:rPr>
  </w:style>
  <w:style w:type="paragraph" w:styleId="25">
    <w:name w:val="toc 6"/>
    <w:basedOn w:val="1"/>
    <w:uiPriority w:val="39"/>
    <w:unhideWhenUsed/>
    <w:qFormat/>
    <w:pPr>
      <w:jc w:val="left"/>
      <w:ind w:left="1050"/>
    </w:pPr>
    <w:rPr>
      <w:sz w:val="18"/>
      <w:szCs w:val="18"/>
      <w:rFonts w:eastAsiaTheme="minorHAnsi"/>
    </w:rPr>
  </w:style>
  <w:style w:type="paragraph" w:styleId="26">
    <w:name w:val="toc 2"/>
    <w:basedOn w:val="1"/>
    <w:uiPriority w:val="39"/>
    <w:unhideWhenUsed/>
    <w:qFormat/>
    <w:pPr>
      <w:jc w:val="left"/>
      <w:ind w:left="210"/>
    </w:pPr>
    <w:rPr>
      <w:sz w:val="20"/>
      <w:szCs w:val="20"/>
      <w:rFonts w:eastAsiaTheme="minorHAnsi"/>
    </w:rPr>
  </w:style>
  <w:style w:type="paragraph" w:styleId="27">
    <w:name w:val="toc 9"/>
    <w:basedOn w:val="1"/>
    <w:uiPriority w:val="39"/>
    <w:unhideWhenUsed/>
    <w:qFormat/>
    <w:pPr>
      <w:jc w:val="left"/>
      <w:ind w:left="1680"/>
    </w:pPr>
    <w:rPr>
      <w:sz w:val="18"/>
      <w:szCs w:val="18"/>
      <w:rFonts w:eastAsiaTheme="minorHAnsi"/>
    </w:rPr>
  </w:style>
  <w:style w:type="paragraph" w:styleId="28">
    <w:name w:val="HTML Preformatted"/>
    <w:basedOn w:val="1"/>
    <w:link w:val="68"/>
    <w:uiPriority w:val="0"/>
    <w:qFormat/>
    <w:pPr>
      <w:widowControl w:val="1"/>
      <w:jc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sz w:val="20"/>
      <w:kern w:val="0"/>
      <w:szCs w:val="20"/>
      <w:rFonts w:ascii="黑体" w:hAnsi="Courier New" w:eastAsia="黑体" w:cs="Courier New"/>
    </w:rPr>
  </w:style>
  <w:style w:type="paragraph" w:styleId="29">
    <w:name w:val="Normal (Web)"/>
    <w:basedOn w:val="1"/>
    <w:uiPriority w:val="99"/>
    <w:qFormat/>
    <w:pPr>
      <w:widowControl w:val="1"/>
      <w:jc w:val="left"/>
      <w:spacing w:after="100" w:afterAutospacing="1" w:before="100" w:beforeAutospacing="1"/>
    </w:pPr>
    <w:rPr>
      <w:sz w:val="24"/>
      <w:kern w:val="0"/>
      <w:szCs w:val="24"/>
      <w:rFonts w:ascii="宋体" w:hAnsi="宋体" w:eastAsia="宋体" w:cs="宋体"/>
    </w:rPr>
  </w:style>
  <w:style w:type="paragraph" w:styleId="30">
    <w:name w:val="index 1"/>
    <w:basedOn w:val="1"/>
    <w:uiPriority w:val="0"/>
    <w:semiHidden/>
    <w:qFormat/>
    <w:pPr>
      <w:jc w:val="left"/>
      <w:spacing w:line="360" w:lineRule="auto"/>
    </w:pPr>
    <w:rPr>
      <w:bCs/>
      <w:szCs w:val="20"/>
      <w:rFonts w:ascii="Times New Roman" w:hAnsi="Times New Roman" w:eastAsia="宋体" w:cs="Times New Roman"/>
    </w:rPr>
  </w:style>
  <w:style w:type="paragraph" w:styleId="31">
    <w:name w:val="Title"/>
    <w:basedOn w:val="1"/>
    <w:link w:val="126"/>
    <w:uiPriority w:val="0"/>
    <w:qFormat/>
    <w:pPr>
      <w:jc w:val="center"/>
      <w:outlineLvl w:val="0"/>
      <w:spacing w:after="60" w:before="240"/>
    </w:pPr>
    <w:rPr>
      <w:b w:val="1"/>
      <w:sz w:val="32"/>
      <w:bCs/>
      <w:szCs w:val="32"/>
      <w:rFonts w:ascii="Arial" w:hAnsi="Arial" w:eastAsia="宋体" w:cs="Arial"/>
    </w:rPr>
  </w:style>
  <w:style w:type="paragraph" w:styleId="32">
    <w:name w:val="Body Text First Indent"/>
    <w:basedOn w:val="11"/>
    <w:link w:val="54"/>
    <w:uiPriority w:val="0"/>
    <w:qFormat/>
    <w:pPr>
      <w:ind w:firstLine="420" w:firstLineChars="100"/>
    </w:pPr>
    <w:rPr>
      <w:szCs w:val="24"/>
      <w:rFonts w:ascii="Times New Roman" w:hAnsi="Times New Roman" w:eastAsia="宋体" w:cs="Times New Roman"/>
    </w:rPr>
  </w:style>
  <w:style w:type="table" w:styleId="34">
    <w:name w:val="Table Grid"/>
    <w:basedOn w:val="33"/>
    <w:uiPriority w:val="59"/>
    <w:qFormat/>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basedOn w:val="35"/>
    <w:uiPriority w:val="0"/>
    <w:qFormat/>
    <w:rPr>
      <w:b w:val="1"/>
      <w:bCs/>
    </w:rPr>
  </w:style>
  <w:style w:type="character" w:styleId="37">
    <w:name w:val="FollowedHyperlink"/>
    <w:basedOn w:val="35"/>
    <w:uiPriority w:val="99"/>
    <w:semiHidden/>
    <w:unhideWhenUsed/>
    <w:qFormat/>
    <w:rPr>
      <w:u w:val="single"/>
      <w:color w:val="800080"/>
    </w:rPr>
  </w:style>
  <w:style w:type="character" w:styleId="38">
    <w:name w:val="Hyperlink"/>
    <w:basedOn w:val="35"/>
    <w:uiPriority w:val="99"/>
    <w:unhideWhenUsed/>
    <w:qFormat/>
    <w:rPr>
      <w:u w:val="single"/>
      <w:color w:val="0563C1" w:themeColor="hyperlink"/>
      <w14:textFill>
        <w14:solidFill>
          <w14:schemeClr w14:val="hlink"/>
        </w14:solidFill>
      </w14:textFill>
    </w:rPr>
  </w:style>
  <w:style w:type="character" w:styleId="39">
    <w:name w:val="annotation reference"/>
    <w:uiPriority w:val="0"/>
    <w:qFormat/>
    <w:rPr>
      <w:sz w:val="21"/>
      <w:szCs w:val="21"/>
    </w:rPr>
  </w:style>
  <w:style w:type="character" w:styleId="40" w:customStyle="1">
    <w:name w:val="标题 1 字符"/>
    <w:basedOn w:val="35"/>
    <w:link w:val="2"/>
    <w:uiPriority w:val="9"/>
    <w:qFormat/>
    <w:rPr>
      <w:b w:val="1"/>
      <w:sz w:val="44"/>
      <w:bCs/>
      <w:kern w:val="44"/>
      <w:szCs w:val="44"/>
    </w:rPr>
  </w:style>
  <w:style w:type="paragraph" w:styleId="41" w:customStyle="1">
    <w:name w:val="一级标题"/>
    <w:basedOn w:val="2"/>
    <w:link w:val="42"/>
    <w:uiPriority w:val="0"/>
    <w:qFormat/>
    <w:pPr>
      <w:jc w:val="left"/>
      <w:contextualSpacing/>
      <w:spacing w:after="100" w:afterLines="100" w:before="100" w:beforeLines="100" w:line="360" w:lineRule="auto"/>
    </w:pPr>
    <w:rPr>
      <w:sz w:val="36"/>
      <w:szCs w:val="28"/>
      <w:rFonts w:ascii="Times New Roman" w:hAnsi="Times New Roman" w:eastAsia="宋体" w:cs="宋体"/>
    </w:rPr>
  </w:style>
  <w:style w:type="character" w:styleId="42" w:customStyle="1">
    <w:name w:val="一级标题 字符"/>
    <w:basedOn w:val="35"/>
    <w:link w:val="41"/>
    <w:uiPriority w:val="0"/>
    <w:qFormat/>
    <w:rPr>
      <w:b w:val="1"/>
      <w:sz w:val="36"/>
      <w:bCs/>
      <w:kern w:val="44"/>
      <w:szCs w:val="28"/>
      <w:rFonts w:cs="宋体"/>
    </w:rPr>
  </w:style>
  <w:style w:type="paragraph" w:styleId="43" w:customStyle="1">
    <w:name w:val="二级标题"/>
    <w:basedOn w:val="41"/>
    <w:link w:val="44"/>
    <w:uiPriority w:val="0"/>
    <w:qFormat/>
    <w:pPr>
      <w:outlineLvl w:val="1"/>
      <w:spacing w:after="50" w:afterLines="50" w:before="50" w:beforeLines="50"/>
    </w:pPr>
    <w:rPr>
      <w:sz w:val="32"/>
    </w:rPr>
  </w:style>
  <w:style w:type="character" w:styleId="44" w:customStyle="1">
    <w:name w:val="二级标题 字符"/>
    <w:basedOn w:val="42"/>
    <w:link w:val="43"/>
    <w:uiPriority w:val="0"/>
    <w:qFormat/>
    <w:rPr>
      <w:sz w:val="32"/>
      <w:kern w:val="44"/>
      <w:szCs w:val="28"/>
      <w:rFonts w:cs="宋体"/>
    </w:rPr>
  </w:style>
  <w:style w:type="paragraph" w:styleId="45" w:customStyle="1">
    <w:name w:val="三级标题"/>
    <w:basedOn w:val="43"/>
    <w:link w:val="46"/>
    <w:uiPriority w:val="0"/>
    <w:qFormat/>
    <w:pPr>
      <w:outlineLvl w:val="2"/>
      <w:tabs>
        <w:tab w:val="left" w:pos="851"/>
      </w:tabs>
      <w:ind w:hanging="425" w:left="425"/>
    </w:pPr>
    <w:rPr>
      <w:szCs w:val="32"/>
      <w:rFonts w:eastAsia="Times New Roman"/>
    </w:rPr>
  </w:style>
  <w:style w:type="character" w:styleId="46" w:customStyle="1">
    <w:name w:val="三级标题 字符"/>
    <w:basedOn w:val="44"/>
    <w:link w:val="45"/>
    <w:uiPriority w:val="0"/>
    <w:qFormat/>
    <w:rPr>
      <w:sz w:val="28"/>
      <w:kern w:val="44"/>
      <w:szCs w:val="32"/>
      <w:rFonts w:ascii="宋体" w:hAnsi="宋体" w:eastAsia="Times New Roman" w:cs="宋体"/>
    </w:rPr>
  </w:style>
  <w:style w:type="paragraph" w:styleId="47" w:customStyle="1">
    <w:name w:val="四级标题"/>
    <w:basedOn w:val="45"/>
    <w:link w:val="48"/>
    <w:uiPriority w:val="0"/>
    <w:qFormat/>
    <w:pPr>
      <w:jc w:val="both"/>
      <w:outlineLvl w:val="3"/>
      <w:tabs>
        <w:tab w:val="left" w:pos="567"/>
        <w:tab w:val="left" w:pos="993"/>
        <w:tab w:val="clear" w:pos="851"/>
      </w:tabs>
      <w:ind w:firstLine="0" w:left="0"/>
    </w:pPr>
    <w:rPr>
      <w:sz w:val="28"/>
      <w:szCs w:val="24"/>
      <w:rFonts w:eastAsia="宋体" w:cs="Times New Roman"/>
    </w:rPr>
  </w:style>
  <w:style w:type="character" w:styleId="48" w:customStyle="1">
    <w:name w:val="四级标题 字符"/>
    <w:basedOn w:val="46"/>
    <w:link w:val="47"/>
    <w:uiPriority w:val="0"/>
    <w:qFormat/>
    <w:rPr>
      <w:sz w:val="28"/>
      <w:kern w:val="44"/>
      <w:szCs w:val="24"/>
      <w:rFonts w:ascii="宋体" w:hAnsi="宋体" w:eastAsia="Times New Roman" w:cs="宋体"/>
    </w:rPr>
  </w:style>
  <w:style w:type="paragraph" w:styleId="49" w:customStyle="1">
    <w:name w:val="五级标题"/>
    <w:basedOn w:val="47"/>
    <w:link w:val="50"/>
    <w:uiPriority w:val="0"/>
    <w:qFormat/>
    <w:pPr>
      <w:outlineLvl w:val="4"/>
      <w:ind w:hanging="142" w:hangingChars="59" w:left="-708" w:leftChars="-405"/>
    </w:pPr>
  </w:style>
  <w:style w:type="character" w:styleId="50" w:customStyle="1">
    <w:name w:val="五级标题 字符"/>
    <w:basedOn w:val="48"/>
    <w:link w:val="49"/>
    <w:uiPriority w:val="0"/>
    <w:qFormat/>
    <w:rPr>
      <w:sz w:val="24"/>
      <w:kern w:val="44"/>
      <w:szCs w:val="24"/>
      <w:rFonts w:ascii="宋体" w:hAnsi="宋体" w:eastAsia="宋体" w:cs="Times New Roman"/>
    </w:rPr>
  </w:style>
  <w:style w:type="character" w:styleId="51" w:customStyle="1">
    <w:name w:val="页眉 字符"/>
    <w:basedOn w:val="35"/>
    <w:link w:val="21"/>
    <w:uiPriority w:val="99"/>
    <w:qFormat/>
    <w:rPr>
      <w:sz w:val="18"/>
      <w:szCs w:val="18"/>
    </w:rPr>
  </w:style>
  <w:style w:type="character" w:styleId="52" w:customStyle="1">
    <w:name w:val="页脚 字符"/>
    <w:basedOn w:val="35"/>
    <w:link w:val="20"/>
    <w:uiPriority w:val="99"/>
    <w:qFormat/>
    <w:rPr>
      <w:sz w:val="18"/>
      <w:szCs w:val="18"/>
    </w:rPr>
  </w:style>
  <w:style w:type="character" w:styleId="53" w:customStyle="1">
    <w:name w:val="正文文本 字符"/>
    <w:basedOn w:val="35"/>
    <w:link w:val="11"/>
    <w:uiPriority w:val="99"/>
    <w:semiHidden/>
    <w:qFormat/>
  </w:style>
  <w:style w:type="character" w:styleId="54" w:customStyle="1">
    <w:name w:val="正文文本首行缩进 字符"/>
    <w:basedOn w:val="53"/>
    <w:link w:val="32"/>
    <w:uiPriority w:val="0"/>
    <w:qFormat/>
    <w:rPr>
      <w:szCs w:val="24"/>
      <w:rFonts w:ascii="Times New Roman" w:hAnsi="Times New Roman" w:eastAsia="宋体" w:cs="Times New Roman"/>
    </w:rPr>
  </w:style>
  <w:style w:type="character" w:styleId="55" w:customStyle="1">
    <w:name w:val="正文缩进 字符"/>
    <w:basedOn w:val="35"/>
    <w:link w:val="8"/>
    <w:uiPriority w:val="0"/>
    <w:qFormat/>
    <w:rPr>
      <w:szCs w:val="24"/>
      <w:rFonts w:ascii="Times New Roman" w:hAnsi="Times New Roman" w:eastAsia="宋体" w:cs="Times New Roman"/>
    </w:rPr>
  </w:style>
  <w:style w:type="paragraph" w:styleId="56">
    <w:name w:val="List Paragraph"/>
    <w:basedOn w:val="1"/>
    <w:link w:val="125"/>
    <w:uiPriority w:val="34"/>
    <w:qFormat/>
    <w:pPr>
      <w:ind w:firstLine="420" w:firstLineChars="200"/>
    </w:pPr>
  </w:style>
  <w:style w:type="paragraph" w:styleId="57" w:customStyle="1">
    <w:name w:val="3z"/>
    <w:basedOn w:val="1"/>
    <w:link w:val="58"/>
    <w:uiPriority w:val="0"/>
    <w:qFormat/>
    <w:pPr>
      <w:topLinePunct w:val="1"/>
      <w:spacing w:line="312" w:lineRule="exact"/>
    </w:pPr>
    <w:rPr>
      <w:szCs w:val="21"/>
      <w:rFonts w:ascii="EU-F1" w:hAnsi="Times New Roman" w:eastAsia="黑体" w:cs="Times New Roman"/>
    </w:rPr>
  </w:style>
  <w:style w:type="character" w:styleId="58" w:customStyle="1">
    <w:name w:val="3z Char"/>
    <w:basedOn w:val="35"/>
    <w:link w:val="57"/>
    <w:uiPriority w:val="0"/>
    <w:qFormat/>
    <w:rPr>
      <w:szCs w:val="21"/>
      <w:rFonts w:ascii="EU-F1" w:hAnsi="Times New Roman" w:eastAsia="黑体" w:cs="Times New Roman"/>
    </w:rPr>
  </w:style>
  <w:style w:type="paragraph" w:styleId="59" w:customStyle="1">
    <w:name w:val="zt"/>
    <w:basedOn w:val="1"/>
    <w:link w:val="60"/>
    <w:uiPriority w:val="0"/>
    <w:qFormat/>
    <w:pPr>
      <w:overflowPunct w:val="0"/>
      <w:topLinePunct w:val="1"/>
      <w:spacing w:line="312" w:lineRule="exact"/>
    </w:pPr>
    <w:rPr>
      <w:bCs/>
      <w:szCs w:val="21"/>
      <w:rFonts w:ascii="EU-F1" w:hAnsi="Times New Roman" w:eastAsia="EU-F1" w:cs="Times New Roman"/>
    </w:rPr>
  </w:style>
  <w:style w:type="character" w:styleId="60" w:customStyle="1">
    <w:name w:val="zt Char Char"/>
    <w:basedOn w:val="35"/>
    <w:link w:val="59"/>
    <w:uiPriority w:val="0"/>
    <w:qFormat/>
    <w:rPr>
      <w:bCs/>
      <w:szCs w:val="21"/>
      <w:rFonts w:ascii="EU-F1" w:hAnsi="Times New Roman" w:eastAsia="EU-F1" w:cs="Times New Roman"/>
    </w:rPr>
  </w:style>
  <w:style w:type="character" w:styleId="61" w:customStyle="1">
    <w:name w:val="标题 2 字符"/>
    <w:basedOn w:val="35"/>
    <w:link w:val="3"/>
    <w:uiPriority w:val="9"/>
    <w:qFormat/>
    <w:rPr>
      <w:b w:val="1"/>
      <w:sz w:val="32"/>
      <w:bCs/>
      <w:szCs w:val="32"/>
      <w:rFonts w:asciiTheme="majorHAnsi" w:hAnsiTheme="majorHAnsi" w:eastAsiaTheme="majorEastAsia" w:cstheme="majorBidi"/>
    </w:rPr>
  </w:style>
  <w:style w:type="character" w:styleId="62" w:customStyle="1">
    <w:name w:val="标题 3 字符"/>
    <w:basedOn w:val="35"/>
    <w:link w:val="4"/>
    <w:uiPriority w:val="9"/>
    <w:qFormat/>
    <w:rPr>
      <w:b w:val="1"/>
      <w:sz w:val="32"/>
      <w:bCs/>
      <w:szCs w:val="32"/>
    </w:rPr>
  </w:style>
  <w:style w:type="character" w:styleId="63" w:customStyle="1">
    <w:name w:val="标题 4 字符"/>
    <w:basedOn w:val="35"/>
    <w:link w:val="5"/>
    <w:uiPriority w:val="9"/>
    <w:semiHidden/>
    <w:qFormat/>
    <w:rPr>
      <w:b w:val="1"/>
      <w:sz w:val="28"/>
      <w:bCs/>
      <w:szCs w:val="28"/>
      <w:rFonts w:asciiTheme="majorHAnsi" w:hAnsiTheme="majorHAnsi" w:eastAsiaTheme="majorEastAsia" w:cstheme="majorBidi"/>
    </w:rPr>
  </w:style>
  <w:style w:type="character" w:styleId="64" w:customStyle="1">
    <w:name w:val="标题 5 字符"/>
    <w:basedOn w:val="35"/>
    <w:link w:val="6"/>
    <w:uiPriority w:val="9"/>
    <w:semiHidden/>
    <w:qFormat/>
    <w:rPr>
      <w:b w:val="1"/>
      <w:sz w:val="28"/>
      <w:bCs/>
      <w:szCs w:val="28"/>
    </w:rPr>
  </w:style>
  <w:style w:type="character" w:styleId="65" w:customStyle="1">
    <w:name w:val="正文文本缩进 字符"/>
    <w:basedOn w:val="35"/>
    <w:link w:val="12"/>
    <w:uiPriority w:val="99"/>
    <w:semiHidden/>
    <w:qFormat/>
  </w:style>
  <w:style w:type="paragraph" w:styleId="66" w:customStyle="1">
    <w:name w:val="样式 正文首行缩进 + 左侧:  0.85 厘米 首行缩进:  2 字符 段前: 0.5 行 段后: 0.5 行"/>
    <w:basedOn w:val="32"/>
    <w:link w:val="67"/>
    <w:uiPriority w:val="0"/>
    <w:qFormat/>
    <w:pPr>
      <w:autoSpaceDE w:val="0"/>
      <w:autoSpaceDN w:val="0"/>
      <w:jc w:val="left"/>
      <w:spacing w:afterLines="50" w:beforeLines="50" w:line="360" w:lineRule="auto"/>
      <w:ind w:firstLine="200" w:firstLineChars="200"/>
    </w:pPr>
    <w:rPr>
      <w:sz w:val="24"/>
      <w:szCs w:val="20"/>
      <w:rFonts w:cs="宋体"/>
    </w:rPr>
  </w:style>
  <w:style w:type="character" w:styleId="67" w:customStyle="1">
    <w:name w:val="样式 正文首行缩进 + 左侧:  0.85 厘米 首行缩进:  2 字符 段前: 0.5 行 段后: 0.5 行 Char"/>
    <w:basedOn w:val="35"/>
    <w:link w:val="66"/>
    <w:uiPriority w:val="0"/>
    <w:qFormat/>
    <w:rPr>
      <w:sz w:val="24"/>
      <w:szCs w:val="20"/>
      <w:rFonts w:ascii="Times New Roman" w:hAnsi="Times New Roman" w:eastAsia="宋体" w:cs="宋体"/>
    </w:rPr>
  </w:style>
  <w:style w:type="character" w:styleId="68" w:customStyle="1">
    <w:name w:val="HTML 预设格式 字符"/>
    <w:basedOn w:val="35"/>
    <w:link w:val="28"/>
    <w:uiPriority w:val="0"/>
    <w:qFormat/>
    <w:rPr>
      <w:sz w:val="20"/>
      <w:kern w:val="0"/>
      <w:szCs w:val="20"/>
      <w:rFonts w:ascii="黑体" w:hAnsi="Courier New" w:eastAsia="黑体" w:cs="Courier New"/>
    </w:rPr>
  </w:style>
  <w:style w:type="paragraph" w:styleId="69" w:customStyle="1">
    <w:name w:val="三级标题1"/>
    <w:basedOn w:val="43"/>
    <w:link w:val="70"/>
    <w:uiPriority w:val="0"/>
    <w:qFormat/>
    <w:pPr>
      <w:outlineLvl w:val="2"/>
      <w:tabs>
        <w:tab w:val="left" w:pos="851"/>
      </w:tabs>
    </w:pPr>
    <w:rPr>
      <w:sz w:val="24"/>
      <w:kern w:val="0"/>
      <w:szCs w:val="24"/>
    </w:rPr>
  </w:style>
  <w:style w:type="character" w:styleId="70" w:customStyle="1">
    <w:name w:val="三级标题1 字符"/>
    <w:basedOn w:val="44"/>
    <w:link w:val="69"/>
    <w:uiPriority w:val="0"/>
    <w:qFormat/>
    <w:rPr>
      <w:sz w:val="24"/>
      <w:kern w:val="0"/>
      <w:szCs w:val="24"/>
      <w:rFonts w:ascii="宋体" w:hAnsi="宋体" w:eastAsia="宋体" w:cs="宋体"/>
    </w:rPr>
  </w:style>
  <w:style w:type="character" w:styleId="71" w:customStyle="1">
    <w:name w:val="正文文本缩进 2 字符"/>
    <w:basedOn w:val="35"/>
    <w:link w:val="18"/>
    <w:uiPriority w:val="99"/>
    <w:qFormat/>
  </w:style>
  <w:style w:type="character" w:styleId="72" w:customStyle="1">
    <w:name w:val="para1"/>
    <w:basedOn w:val="35"/>
    <w:uiPriority w:val="0"/>
    <w:qFormat/>
    <w:rPr>
      <w:sz w:val="22"/>
      <w:szCs w:val="22"/>
      <w:rFonts w:ascii="Arial" w:hAnsi="Arial" w:cs="Arial" w:hint="default"/>
    </w:rPr>
  </w:style>
  <w:style w:type="paragraph" w:styleId="73" w:customStyle="1">
    <w:name w:val="列表文字"/>
    <w:basedOn w:val="1"/>
    <w:uiPriority w:val="0"/>
    <w:qFormat/>
    <w:pPr>
      <w:numPr>
        <w:ilvl w:val="0"/>
        <w:numId w:val="2"/>
      </w:numPr>
      <w:tabs>
        <w:tab w:val="left" w:pos="420"/>
      </w:tabs>
    </w:pPr>
    <w:rPr>
      <w:szCs w:val="24"/>
      <w:rFonts w:ascii="Times New Roman" w:hAnsi="Times New Roman" w:eastAsia="宋体" w:cs="Times New Roman"/>
    </w:rPr>
  </w:style>
  <w:style w:type="paragraph" w:styleId="74" w:customStyle="1">
    <w:name w:val="章标题"/>
    <w:uiPriority w:val="0"/>
    <w:qFormat/>
    <w:pPr>
      <w:jc w:val="both"/>
      <w:outlineLvl w:val="1"/>
      <w:numPr>
        <w:ilvl w:val="1"/>
        <w:numId w:val="3"/>
      </w:numPr>
      <w:spacing w:afterLines="50" w:beforeLines="50"/>
    </w:pPr>
    <w:rPr>
      <w:sz w:val="21"/>
      <w:lang w:val="en-US" w:eastAsia="zh-CN" w:bidi="ar-SA"/>
      <w:rFonts w:ascii="黑体" w:hAnsi="Times New Roman" w:eastAsia="黑体" w:cs="Times New Roman"/>
    </w:rPr>
  </w:style>
  <w:style w:type="paragraph" w:styleId="75" w:customStyle="1">
    <w:name w:val="段"/>
    <w:uiPriority w:val="0"/>
    <w:qFormat/>
    <w:pPr>
      <w:autoSpaceDE w:val="0"/>
      <w:autoSpaceDN w:val="0"/>
      <w:jc w:val="both"/>
      <w:ind w:firstLine="200" w:firstLineChars="200"/>
    </w:pPr>
    <w:rPr>
      <w:sz w:val="21"/>
      <w:lang w:val="en-US" w:eastAsia="zh-CN" w:bidi="ar-SA"/>
      <w:rFonts w:ascii="宋体" w:hAnsi="Times New Roman" w:eastAsia="宋体" w:cs="Times New Roman"/>
    </w:rPr>
  </w:style>
  <w:style w:type="paragraph" w:styleId="76" w:customStyle="1">
    <w:name w:val="列出段落1"/>
    <w:basedOn w:val="1"/>
    <w:uiPriority w:val="34"/>
    <w:qFormat/>
    <w:pPr>
      <w:spacing w:line="180" w:lineRule="auto"/>
      <w:ind w:firstLine="200" w:firstLineChars="200" w:left="100" w:leftChars="100" w:right="100" w:rightChars="100"/>
    </w:pPr>
    <w:rPr>
      <w:sz w:val="30"/>
      <w:rFonts w:ascii="Calibri" w:hAnsi="Calibri" w:eastAsia="宋体" w:cs="Times New Roman"/>
    </w:rPr>
  </w:style>
  <w:style w:type="paragraph" w:styleId="77" w:customStyle="1">
    <w:name w:val="二级条标题"/>
    <w:basedOn w:val="78"/>
    <w:uiPriority w:val="0"/>
    <w:qFormat/>
    <w:pPr>
      <w:outlineLvl w:val="3"/>
      <w:numPr>
        <w:ilvl w:val="3"/>
        <w:numId w:val="0"/>
      </w:numPr>
      <w:tabs>
        <w:tab w:val="left" w:pos="2160"/>
      </w:tabs>
    </w:pPr>
  </w:style>
  <w:style w:type="paragraph" w:styleId="78" w:customStyle="1">
    <w:name w:val="一级条标题"/>
    <w:uiPriority w:val="0"/>
    <w:qFormat/>
    <w:pPr>
      <w:outlineLvl w:val="2"/>
      <w:numPr>
        <w:ilvl w:val="2"/>
        <w:numId w:val="3"/>
      </w:numPr>
    </w:pPr>
    <w:rPr>
      <w:sz w:val="21"/>
      <w:lang w:val="en-US" w:eastAsia="zh-CN" w:bidi="ar-SA"/>
      <w:rFonts w:ascii="Times New Roman" w:hAnsi="Times New Roman" w:eastAsia="黑体" w:cs="Times New Roman"/>
    </w:rPr>
  </w:style>
  <w:style w:type="paragraph" w:styleId="79" w:customStyle="1">
    <w:name w:val="三级条标题"/>
    <w:basedOn w:val="77"/>
    <w:uiPriority w:val="0"/>
    <w:qFormat/>
    <w:pPr>
      <w:outlineLvl w:val="2"/>
      <w:numPr>
        <w:ilvl w:val="4"/>
        <w:numId w:val="0"/>
      </w:numPr>
      <w:tabs>
        <w:tab w:val="left" w:pos="720"/>
      </w:tabs>
      <w:spacing w:after="50" w:afterLines="50" w:before="50" w:beforeLines="50"/>
    </w:pPr>
    <w:rPr>
      <w:b w:val="1"/>
      <w:sz w:val="30"/>
      <w:rFonts w:eastAsia="宋体"/>
    </w:rPr>
  </w:style>
  <w:style w:type="paragraph" w:styleId="80" w:customStyle="1">
    <w:name w:val="样式 正文小4号 + 五号 首行缩进:  2 字符"/>
    <w:basedOn w:val="1"/>
    <w:uiPriority w:val="0"/>
    <w:qFormat/>
    <w:pPr>
      <w:spacing w:line="360" w:lineRule="auto"/>
      <w:ind w:firstLine="420" w:firstLineChars="200"/>
    </w:pPr>
    <w:rPr>
      <w:szCs w:val="20"/>
      <w:rFonts w:ascii="Times New Roman" w:hAnsi="Times New Roman" w:eastAsia="宋体" w:cs="Times New Roman"/>
    </w:rPr>
  </w:style>
  <w:style w:type="paragraph" w:styleId="81" w:customStyle="1">
    <w:name w:val="二级标题-1"/>
    <w:basedOn w:val="43"/>
    <w:link w:val="82"/>
    <w:uiPriority w:val="0"/>
    <w:qFormat/>
    <w:rPr>
      <w:rFonts w:cs="Times New Roman"/>
    </w:rPr>
  </w:style>
  <w:style w:type="character" w:styleId="82" w:customStyle="1">
    <w:name w:val="二级标题-1 字符"/>
    <w:basedOn w:val="44"/>
    <w:link w:val="81"/>
    <w:uiPriority w:val="0"/>
    <w:qFormat/>
    <w:rPr>
      <w:sz w:val="28"/>
      <w:kern w:val="44"/>
      <w:szCs w:val="28"/>
      <w:rFonts w:ascii="宋体" w:hAnsi="宋体" w:eastAsia="宋体" w:cs="Times New Roman"/>
    </w:rPr>
  </w:style>
  <w:style w:type="character" w:styleId="83" w:customStyle="1">
    <w:name w:val="批注框文本 字符"/>
    <w:basedOn w:val="35"/>
    <w:link w:val="19"/>
    <w:uiPriority w:val="99"/>
    <w:semiHidden/>
    <w:qFormat/>
    <w:rPr>
      <w:sz w:val="18"/>
      <w:szCs w:val="18"/>
    </w:rPr>
  </w:style>
  <w:style w:type="character" w:styleId="84" w:customStyle="1">
    <w:name w:val="批注文字 字符1"/>
    <w:basedOn w:val="35"/>
    <w:link w:val="10"/>
    <w:uiPriority w:val="0"/>
    <w:qFormat/>
  </w:style>
  <w:style w:type="character" w:styleId="85" w:customStyle="1">
    <w:name w:val="批注文字 字符"/>
    <w:basedOn w:val="35"/>
    <w:uiPriority w:val="99"/>
    <w:semiHidden/>
    <w:qFormat/>
  </w:style>
  <w:style w:type="paragraph" w:styleId="86" w:customStyle="1">
    <w:name w:val="样式1"/>
    <w:basedOn w:val="4"/>
    <w:uiPriority w:val="0"/>
    <w:qFormat/>
    <w:pPr>
      <w:widowControl w:val="1"/>
      <w:autoSpaceDE w:val="0"/>
      <w:autoSpaceDN w:val="0"/>
      <w:spacing w:line="320" w:lineRule="atLeast"/>
    </w:pPr>
    <w:rPr>
      <w:sz w:val="21"/>
      <w:kern w:val="0"/>
      <w:szCs w:val="20"/>
      <w:rFonts w:ascii="Times New Roman" w:hAnsi="Times New Roman" w:eastAsia="黑体" w:cs="Times New Roman"/>
    </w:rPr>
  </w:style>
  <w:style w:type="character" w:styleId="87" w:customStyle="1">
    <w:name w:val="apple-style-span"/>
    <w:basedOn w:val="35"/>
    <w:uiPriority w:val="0"/>
    <w:qFormat/>
  </w:style>
  <w:style w:type="paragraph" w:styleId="88" w:customStyle="1">
    <w:name w:val="1级标题"/>
    <w:basedOn w:val="41"/>
    <w:uiPriority w:val="0"/>
    <w:qFormat/>
    <w:pPr>
      <w:ind w:left="-142"/>
    </w:pPr>
    <w:rPr>
      <w:sz w:val="28"/>
      <w:rFonts w:cstheme="minorBidi"/>
    </w:rPr>
  </w:style>
  <w:style w:type="paragraph" w:styleId="89" w:customStyle="1">
    <w:name w:val="标题2"/>
    <w:basedOn w:val="88"/>
    <w:link w:val="91"/>
    <w:uiPriority w:val="0"/>
    <w:qFormat/>
    <w:pPr>
      <w:outlineLvl w:val="1"/>
      <w:tabs>
        <w:tab w:val="left" w:pos="567"/>
      </w:tabs>
      <w:ind w:hanging="567" w:left="567"/>
    </w:pPr>
  </w:style>
  <w:style w:type="paragraph" w:styleId="90" w:customStyle="1">
    <w:name w:val="标题3"/>
    <w:basedOn w:val="89"/>
    <w:link w:val="92"/>
    <w:uiPriority w:val="0"/>
    <w:qFormat/>
    <w:pPr>
      <w:outlineLvl w:val="2"/>
      <w:tabs>
        <w:tab w:val="left" w:pos="993"/>
        <w:tab w:val="clear" w:pos="567"/>
      </w:tabs>
      <w:ind w:hanging="709" w:left="709"/>
    </w:pPr>
  </w:style>
  <w:style w:type="character" w:styleId="91" w:customStyle="1">
    <w:name w:val="标题2 字符"/>
    <w:basedOn w:val="35"/>
    <w:link w:val="89"/>
    <w:uiPriority w:val="0"/>
    <w:qFormat/>
    <w:rPr>
      <w:b w:val="1"/>
      <w:sz w:val="28"/>
      <w:bCs/>
      <w:kern w:val="44"/>
      <w:szCs w:val="36"/>
      <w:rFonts w:ascii="宋体" w:hAnsi="宋体" w:eastAsia="宋体"/>
    </w:rPr>
  </w:style>
  <w:style w:type="character" w:styleId="92" w:customStyle="1">
    <w:name w:val="标题3 字符"/>
    <w:basedOn w:val="91"/>
    <w:link w:val="90"/>
    <w:uiPriority w:val="0"/>
    <w:qFormat/>
    <w:rPr>
      <w:sz w:val="28"/>
      <w:kern w:val="44"/>
      <w:szCs w:val="28"/>
      <w:rFonts w:ascii="宋体" w:hAnsi="宋体" w:eastAsia="宋体"/>
    </w:rPr>
  </w:style>
  <w:style w:type="character" w:styleId="93" w:customStyle="1">
    <w:name w:val="标题4 字符"/>
    <w:basedOn w:val="92"/>
    <w:uiPriority w:val="0"/>
    <w:qFormat/>
    <w:rPr>
      <w:sz w:val="24"/>
      <w:kern w:val="44"/>
      <w:szCs w:val="36"/>
      <w:rFonts w:ascii="宋体" w:hAnsi="宋体" w:eastAsia="宋体"/>
    </w:rPr>
  </w:style>
  <w:style w:type="paragraph" w:styleId="94">
    <w:name w:val="No Spacing"/>
    <w:uiPriority w:val="1"/>
    <w:qFormat/>
    <w:pPr>
      <w:widowControl w:val="0"/>
      <w:jc w:val="both"/>
    </w:pPr>
    <w:rPr>
      <w:sz w:val="21"/>
      <w:lang w:val="en-US" w:eastAsia="zh-CN" w:bidi="ar-SA"/>
      <w:kern w:val="2"/>
      <w:szCs w:val="22"/>
      <w:rFonts w:asciiTheme="minorHAnsi" w:hAnsiTheme="minorHAnsi" w:eastAsiaTheme="minorEastAsia" w:cstheme="minorBidi"/>
    </w:rPr>
  </w:style>
  <w:style w:type="character" w:styleId="95" w:customStyle="1">
    <w:name w:val="日期 字符"/>
    <w:basedOn w:val="35"/>
    <w:link w:val="17"/>
    <w:uiPriority w:val="99"/>
    <w:semiHidden/>
    <w:qFormat/>
  </w:style>
  <w:style w:type="paragraph" w:styleId="96" w:customStyle="1">
    <w:name w:val="目录标题1"/>
    <w:basedOn w:val="2"/>
    <w:uiPriority w:val="39"/>
    <w:semiHidden/>
    <w:unhideWhenUsed/>
    <w:qFormat/>
    <w:pPr>
      <w:widowControl w:val="1"/>
      <w:jc w:val="left"/>
      <w:outlineLvl w:val="9"/>
      <w:spacing w:after="0" w:before="480" w:line="276" w:lineRule="auto"/>
    </w:pPr>
    <w:rPr>
      <w:color w:val="2F5597" w:themeColor="accent1" w:themeShade="BF"/>
      <w:sz w:val="28"/>
      <w:kern w:val="0"/>
      <w:szCs w:val="28"/>
      <w:rFonts w:asciiTheme="majorHAnsi" w:hAnsiTheme="majorHAnsi" w:eastAsiaTheme="majorEastAsia" w:cstheme="majorBidi"/>
    </w:rPr>
  </w:style>
  <w:style w:type="character" w:styleId="97" w:customStyle="1">
    <w:name w:val="TOC 1 字符"/>
    <w:basedOn w:val="35"/>
    <w:link w:val="22"/>
    <w:uiPriority w:val="39"/>
    <w:qFormat/>
    <w:rPr>
      <w:caps/>
      <w:b w:val="1"/>
      <w:bCs/>
      <w:kern w:val="2"/>
      <w:rFonts w:asciiTheme="minorHAnsi" w:hAnsiTheme="minorHAnsi" w:eastAsiaTheme="minorHAnsi" w:cstheme="minorBidi"/>
    </w:rPr>
  </w:style>
  <w:style w:type="table" w:styleId="98" w:customStyle="1">
    <w:name w:val="网格型1"/>
    <w:basedOn w:val="33"/>
    <w:uiPriority w:val="59"/>
    <w:qFormat/>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9" w:customStyle="1">
    <w:name w:val="Char Char Char Char Char Char Char Char Char Char"/>
    <w:basedOn w:val="1"/>
    <w:uiPriority w:val="0"/>
    <w:qFormat/>
    <w:rPr>
      <w:szCs w:val="24"/>
      <w:rFonts w:ascii="Times New Roman" w:hAnsi="Times New Roman" w:eastAsia="宋体" w:cs="Times New Roman"/>
    </w:rPr>
  </w:style>
  <w:style w:type="character" w:styleId="100" w:customStyle="1">
    <w:name w:val="fontstyle01"/>
    <w:basedOn w:val="35"/>
    <w:uiPriority w:val="0"/>
    <w:qFormat/>
    <w:rPr>
      <w:color w:val="000000"/>
      <w:sz w:val="22"/>
      <w:szCs w:val="22"/>
      <w:rFonts w:ascii="宋体" w:hAnsi="宋体" w:eastAsia="宋体" w:hint="eastAsia"/>
    </w:rPr>
  </w:style>
  <w:style w:type="character" w:styleId="101" w:customStyle="1">
    <w:name w:val="fontstyle11"/>
    <w:basedOn w:val="35"/>
    <w:uiPriority w:val="0"/>
    <w:qFormat/>
    <w:rPr>
      <w:color w:val="000000"/>
      <w:sz w:val="22"/>
      <w:szCs w:val="22"/>
      <w:rFonts w:ascii="TimesNewRomanPSMT" w:hAnsi="TimesNewRomanPSMT" w:hint="default"/>
    </w:rPr>
  </w:style>
  <w:style w:type="paragraph" w:styleId="102" w:customStyle="1">
    <w:name w:val="Heading #4|1"/>
    <w:basedOn w:val="1"/>
    <w:uiPriority w:val="0"/>
    <w:qFormat/>
    <w:pPr>
      <w:outlineLvl w:val="3"/>
      <w:spacing w:after="160"/>
    </w:pPr>
    <w:rPr>
      <w:sz w:val="32"/>
      <w:lang w:val="zh-TW" w:eastAsia="zh-TW" w:bidi="zh-TW"/>
      <w:szCs w:val="32"/>
      <w:rFonts w:ascii="宋体" w:hAnsi="宋体" w:eastAsia="宋体" w:cs="宋体"/>
    </w:rPr>
  </w:style>
  <w:style w:type="paragraph" w:styleId="103" w:customStyle="1">
    <w:name w:val="Body text|1"/>
    <w:basedOn w:val="1"/>
    <w:uiPriority w:val="0"/>
    <w:qFormat/>
    <w:pPr>
      <w:spacing w:line="446" w:lineRule="auto"/>
      <w:ind w:firstLine="400"/>
    </w:pPr>
    <w:rPr>
      <w:sz w:val="22"/>
      <w:lang w:val="zh-TW" w:eastAsia="zh-TW" w:bidi="zh-TW"/>
      <w:rFonts w:ascii="宋体" w:hAnsi="宋体" w:eastAsia="宋体" w:cs="宋体"/>
    </w:rPr>
  </w:style>
  <w:style w:type="character" w:styleId="104" w:customStyle="1">
    <w:name w:val="正文缩进 Char2"/>
    <w:basedOn w:val="35"/>
    <w:uiPriority w:val="0"/>
    <w:qFormat/>
    <w:rPr>
      <w:szCs w:val="24"/>
      <w:rFonts w:ascii="Times New Roman" w:hAnsi="Times New Roman" w:eastAsia="宋体" w:cs="Times New Roman"/>
    </w:rPr>
  </w:style>
  <w:style w:type="character" w:styleId="105" w:customStyle="1">
    <w:name w:val="副标题 字符"/>
    <w:basedOn w:val="35"/>
    <w:link w:val="24"/>
    <w:uiPriority w:val="11"/>
    <w:qFormat/>
    <w:rPr>
      <w:b w:val="1"/>
      <w:sz w:val="32"/>
      <w:bCs/>
      <w:kern w:val="28"/>
      <w:szCs w:val="32"/>
      <w:rFonts w:asciiTheme="majorHAnsi" w:hAnsiTheme="majorHAnsi" w:cstheme="majorBidi"/>
    </w:rPr>
  </w:style>
  <w:style w:type="paragraph" w:styleId="106" w:customStyle="1">
    <w:name w:val="TOC Heading"/>
    <w:basedOn w:val="2"/>
    <w:uiPriority w:val="39"/>
    <w:unhideWhenUsed/>
    <w:qFormat/>
    <w:pPr>
      <w:widowControl w:val="1"/>
      <w:jc w:val="left"/>
      <w:outlineLvl w:val="9"/>
      <w:spacing w:after="0" w:before="480" w:line="276" w:lineRule="auto"/>
    </w:pPr>
    <w:rPr>
      <w:color w:val="2F5597" w:themeColor="accent1" w:themeShade="BF"/>
      <w:sz w:val="28"/>
      <w:kern w:val="0"/>
      <w:szCs w:val="28"/>
      <w:rFonts w:asciiTheme="majorHAnsi" w:hAnsiTheme="majorHAnsi" w:eastAsiaTheme="majorEastAsia" w:cstheme="majorBidi"/>
    </w:rPr>
  </w:style>
  <w:style w:type="paragraph" w:styleId="107" w:customStyle="1">
    <w:name w:val="font5"/>
    <w:basedOn w:val="1"/>
    <w:uiPriority w:val="0"/>
    <w:qFormat/>
    <w:pPr>
      <w:widowControl w:val="1"/>
      <w:jc w:val="left"/>
      <w:spacing w:after="100" w:afterAutospacing="1" w:before="100" w:beforeAutospacing="1"/>
    </w:pPr>
    <w:rPr>
      <w:sz w:val="18"/>
      <w:kern w:val="0"/>
      <w:szCs w:val="18"/>
      <w:rFonts w:ascii="宋体" w:hAnsi="宋体" w:eastAsia="宋体" w:cs="宋体"/>
    </w:rPr>
  </w:style>
  <w:style w:type="paragraph" w:styleId="108" w:customStyle="1">
    <w:name w:val="font6"/>
    <w:basedOn w:val="1"/>
    <w:uiPriority w:val="0"/>
    <w:qFormat/>
    <w:pPr>
      <w:widowControl w:val="1"/>
      <w:jc w:val="left"/>
      <w:spacing w:after="100" w:afterAutospacing="1" w:before="100" w:beforeAutospacing="1"/>
    </w:pPr>
    <w:rPr>
      <w:sz w:val="18"/>
      <w:kern w:val="0"/>
      <w:szCs w:val="18"/>
      <w:rFonts w:ascii="宋体" w:hAnsi="宋体" w:eastAsia="宋体" w:cs="宋体"/>
    </w:rPr>
  </w:style>
  <w:style w:type="paragraph" w:styleId="109" w:customStyle="1">
    <w:name w:val="font7"/>
    <w:basedOn w:val="1"/>
    <w:uiPriority w:val="0"/>
    <w:qFormat/>
    <w:pPr>
      <w:widowControl w:val="1"/>
      <w:jc w:val="left"/>
      <w:spacing w:after="100" w:afterAutospacing="1" w:before="100" w:beforeAutospacing="1"/>
    </w:pPr>
    <w:rPr>
      <w:color w:val="000000"/>
      <w:sz w:val="22"/>
      <w:kern w:val="0"/>
      <w:rFonts w:ascii="宋体" w:hAnsi="宋体" w:eastAsia="宋体" w:cs="宋体"/>
    </w:rPr>
  </w:style>
  <w:style w:type="paragraph" w:styleId="110" w:customStyle="1">
    <w:name w:val="font8"/>
    <w:basedOn w:val="1"/>
    <w:uiPriority w:val="0"/>
    <w:qFormat/>
    <w:pPr>
      <w:widowControl w:val="1"/>
      <w:jc w:val="left"/>
      <w:spacing w:after="100" w:afterAutospacing="1" w:before="100" w:beforeAutospacing="1"/>
    </w:pPr>
    <w:rPr>
      <w:color w:val="000000"/>
      <w:sz w:val="22"/>
      <w:kern w:val="0"/>
      <w:rFonts w:ascii="Times New Roman" w:hAnsi="Times New Roman" w:eastAsia="宋体" w:cs="Times New Roman"/>
    </w:rPr>
  </w:style>
  <w:style w:type="paragraph" w:styleId="111" w:customStyle="1">
    <w:name w:val="xl64"/>
    <w:basedOn w:val="1"/>
    <w:uiPriority w:val="0"/>
    <w:qFormat/>
    <w:pPr>
      <w:widowControl w:val="1"/>
      <w:jc w:val="center"/>
      <w:spacing w:after="100" w:afterAutospacing="1" w:before="100" w:beforeAutospacing="1"/>
    </w:pPr>
    <w:rPr>
      <w:sz w:val="24"/>
      <w:kern w:val="0"/>
      <w:szCs w:val="24"/>
      <w:rFonts w:ascii="宋体" w:hAnsi="宋体" w:eastAsia="宋体" w:cs="宋体"/>
    </w:rPr>
  </w:style>
  <w:style w:type="paragraph" w:styleId="112" w:customStyle="1">
    <w:name w:val="xl65"/>
    <w:basedOn w:val="1"/>
    <w:uiPriority w:val="0"/>
    <w:qFormat/>
    <w:pPr>
      <w:widowControl w:val="1"/>
      <w:jc w:val="center"/>
      <w:pBdr>
        <w:top w:val="single" w:color="auto" w:sz="4" w:space="0"/>
        <w:left w:val="single" w:color="auto" w:sz="4" w:space="0"/>
        <w:bottom w:val="single" w:color="auto" w:sz="4" w:space="0"/>
        <w:right w:val="single" w:color="auto" w:sz="4" w:space="0"/>
      </w:pBdr>
      <w:spacing w:after="100" w:afterAutospacing="1" w:before="100" w:beforeAutospacing="1"/>
    </w:pPr>
    <w:rPr>
      <w:b w:val="1"/>
      <w:sz w:val="24"/>
      <w:bCs/>
      <w:kern w:val="0"/>
      <w:szCs w:val="24"/>
      <w:rFonts w:ascii="宋体" w:hAnsi="宋体" w:eastAsia="宋体" w:cs="宋体"/>
    </w:rPr>
  </w:style>
  <w:style w:type="paragraph" w:styleId="113" w:customStyle="1">
    <w:name w:val="xl66"/>
    <w:basedOn w:val="1"/>
    <w:uiPriority w:val="0"/>
    <w:qFormat/>
    <w:pPr>
      <w:widowControl w:val="1"/>
      <w:jc w:val="center"/>
      <w:spacing w:after="100" w:afterAutospacing="1" w:before="100" w:beforeAutospacing="1"/>
    </w:pPr>
    <w:rPr>
      <w:b w:val="1"/>
      <w:sz w:val="24"/>
      <w:bCs/>
      <w:kern w:val="0"/>
      <w:szCs w:val="24"/>
      <w:rFonts w:ascii="宋体" w:hAnsi="宋体" w:eastAsia="宋体" w:cs="宋体"/>
    </w:rPr>
  </w:style>
  <w:style w:type="paragraph" w:styleId="114" w:customStyle="1">
    <w:name w:val="xl67"/>
    <w:basedOn w:val="1"/>
    <w:uiPriority w:val="0"/>
    <w:qFormat/>
    <w:pPr>
      <w:widowControl w:val="1"/>
      <w:jc w:val="center"/>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sz w:val="24"/>
      <w:kern w:val="0"/>
      <w:szCs w:val="24"/>
      <w:rFonts w:ascii="宋体" w:hAnsi="宋体" w:eastAsia="宋体" w:cs="宋体"/>
    </w:rPr>
  </w:style>
  <w:style w:type="paragraph" w:styleId="115" w:customStyle="1">
    <w:name w:val="xl68"/>
    <w:basedOn w:val="1"/>
    <w:uiPriority w:val="0"/>
    <w:qFormat/>
    <w:pPr>
      <w:widowControl w:val="1"/>
      <w:jc w:val="center"/>
      <w:shd w:val="clear" w:color="000000" w:fill="FFFFFF"/>
      <w:spacing w:after="100" w:afterAutospacing="1" w:before="100" w:beforeAutospacing="1"/>
    </w:pPr>
    <w:rPr>
      <w:sz w:val="24"/>
      <w:kern w:val="0"/>
      <w:szCs w:val="24"/>
      <w:rFonts w:ascii="宋体" w:hAnsi="宋体" w:eastAsia="宋体" w:cs="宋体"/>
    </w:rPr>
  </w:style>
  <w:style w:type="paragraph" w:styleId="116" w:customStyle="1">
    <w:name w:val="xl69"/>
    <w:basedOn w:val="1"/>
    <w:uiPriority w:val="0"/>
    <w:qFormat/>
    <w:pPr>
      <w:widowControl w:val="1"/>
      <w:jc w:val="center"/>
      <w:pBdr>
        <w:top w:val="single" w:color="auto" w:sz="4" w:space="0"/>
        <w:left w:val="single" w:color="auto" w:sz="4" w:space="0"/>
        <w:bottom w:val="single" w:color="auto" w:sz="4" w:space="0"/>
        <w:right w:val="single" w:color="auto" w:sz="4" w:space="0"/>
      </w:pBdr>
      <w:spacing w:after="100" w:afterAutospacing="1" w:before="100" w:beforeAutospacing="1"/>
    </w:pPr>
    <w:rPr>
      <w:b w:val="1"/>
      <w:sz w:val="24"/>
      <w:bCs/>
      <w:kern w:val="0"/>
      <w:szCs w:val="24"/>
      <w:rFonts w:ascii="宋体" w:hAnsi="宋体" w:eastAsia="宋体" w:cs="宋体"/>
    </w:rPr>
  </w:style>
  <w:style w:type="paragraph" w:styleId="117" w:customStyle="1">
    <w:name w:val="xl70"/>
    <w:basedOn w:val="1"/>
    <w:uiPriority w:val="0"/>
    <w:qFormat/>
    <w:pPr>
      <w:widowControl w:val="1"/>
      <w:jc w:val="center"/>
      <w:spacing w:after="100" w:afterAutospacing="1" w:before="100" w:beforeAutospacing="1"/>
    </w:pPr>
    <w:rPr>
      <w:b w:val="1"/>
      <w:sz w:val="24"/>
      <w:bCs/>
      <w:kern w:val="0"/>
      <w:szCs w:val="24"/>
      <w:rFonts w:ascii="宋体" w:hAnsi="宋体" w:eastAsia="宋体" w:cs="宋体"/>
    </w:rPr>
  </w:style>
  <w:style w:type="paragraph" w:styleId="118" w:customStyle="1">
    <w:name w:val="xl71"/>
    <w:basedOn w:val="1"/>
    <w:uiPriority w:val="0"/>
    <w:qFormat/>
    <w:pPr>
      <w:widowControl w:val="1"/>
      <w:jc w:val="center"/>
      <w:pBdr>
        <w:top w:val="single" w:color="auto" w:sz="4" w:space="0"/>
        <w:left w:val="single" w:color="auto" w:sz="4" w:space="0"/>
        <w:bottom w:val="single" w:color="auto" w:sz="4" w:space="0"/>
        <w:right w:val="single" w:color="auto" w:sz="4" w:space="0"/>
      </w:pBdr>
      <w:spacing w:after="100" w:afterAutospacing="1" w:before="100" w:beforeAutospacing="1"/>
    </w:pPr>
    <w:rPr>
      <w:sz w:val="24"/>
      <w:kern w:val="0"/>
      <w:szCs w:val="24"/>
      <w:rFonts w:ascii="宋体" w:hAnsi="宋体" w:eastAsia="宋体" w:cs="宋体"/>
    </w:rPr>
  </w:style>
  <w:style w:type="paragraph" w:styleId="119" w:customStyle="1">
    <w:name w:val="xl72"/>
    <w:basedOn w:val="1"/>
    <w:uiPriority w:val="0"/>
    <w:qFormat/>
    <w:pPr>
      <w:widowControl w:val="1"/>
      <w:jc w:val="center"/>
      <w:pBdr>
        <w:top w:val="single" w:color="auto" w:sz="4" w:space="0"/>
        <w:left w:val="single" w:color="auto" w:sz="4" w:space="0"/>
        <w:bottom w:val="single" w:color="auto" w:sz="4" w:space="0"/>
        <w:right w:val="single" w:color="auto" w:sz="4" w:space="0"/>
      </w:pBdr>
      <w:spacing w:after="100" w:afterAutospacing="1" w:before="100" w:beforeAutospacing="1"/>
    </w:pPr>
    <w:rPr>
      <w:sz w:val="24"/>
      <w:kern w:val="0"/>
      <w:szCs w:val="24"/>
      <w:rFonts w:ascii="宋体" w:hAnsi="宋体" w:eastAsia="宋体" w:cs="宋体"/>
    </w:rPr>
  </w:style>
  <w:style w:type="paragraph" w:styleId="120" w:customStyle="1">
    <w:name w:val="xl73"/>
    <w:basedOn w:val="1"/>
    <w:uiPriority w:val="0"/>
    <w:qFormat/>
    <w:pPr>
      <w:widowControl w:val="1"/>
      <w:jc w:val="center"/>
      <w:spacing w:after="100" w:afterAutospacing="1" w:before="100" w:beforeAutospacing="1"/>
    </w:pPr>
    <w:rPr>
      <w:sz w:val="24"/>
      <w:kern w:val="0"/>
      <w:szCs w:val="24"/>
      <w:rFonts w:ascii="宋体" w:hAnsi="宋体" w:eastAsia="宋体" w:cs="宋体"/>
    </w:rPr>
  </w:style>
  <w:style w:type="paragraph" w:styleId="121" w:customStyle="1">
    <w:name w:val="xl74"/>
    <w:basedOn w:val="1"/>
    <w:uiPriority w:val="0"/>
    <w:qFormat/>
    <w:pPr>
      <w:widowControl w:val="1"/>
      <w:jc w:val="center"/>
      <w:pBdr>
        <w:top w:val="single" w:color="auto" w:sz="4" w:space="0"/>
        <w:left w:val="single" w:color="auto" w:sz="4" w:space="0"/>
        <w:bottom w:val="single" w:color="auto" w:sz="4" w:space="0"/>
      </w:pBdr>
      <w:spacing w:after="100" w:afterAutospacing="1" w:before="100" w:beforeAutospacing="1"/>
    </w:pPr>
    <w:rPr>
      <w:b w:val="1"/>
      <w:sz w:val="24"/>
      <w:bCs/>
      <w:kern w:val="0"/>
      <w:szCs w:val="24"/>
      <w:rFonts w:ascii="宋体" w:hAnsi="宋体" w:eastAsia="宋体" w:cs="宋体"/>
    </w:rPr>
  </w:style>
  <w:style w:type="paragraph" w:styleId="122" w:customStyle="1">
    <w:name w:val="xl75"/>
    <w:basedOn w:val="1"/>
    <w:uiPriority w:val="0"/>
    <w:qFormat/>
    <w:pPr>
      <w:widowControl w:val="1"/>
      <w:jc w:val="center"/>
      <w:pBdr>
        <w:top w:val="single" w:color="auto" w:sz="4" w:space="0"/>
        <w:left w:val="single" w:color="auto" w:sz="4" w:space="0"/>
        <w:bottom w:val="single" w:color="auto" w:sz="4" w:space="0"/>
        <w:right w:val="single" w:color="auto" w:sz="4" w:space="0"/>
      </w:pBdr>
      <w:spacing w:after="100" w:afterAutospacing="1" w:before="100" w:beforeAutospacing="1"/>
    </w:pPr>
    <w:rPr>
      <w:sz w:val="24"/>
      <w:kern w:val="0"/>
      <w:szCs w:val="24"/>
      <w:rFonts w:ascii="宋体" w:hAnsi="宋体" w:eastAsia="宋体" w:cs="宋体"/>
    </w:rPr>
  </w:style>
  <w:style w:type="paragraph" w:styleId="123" w:customStyle="1">
    <w:name w:val="xl76"/>
    <w:basedOn w:val="1"/>
    <w:uiPriority w:val="0"/>
    <w:qFormat/>
    <w:pPr>
      <w:widowControl w:val="1"/>
      <w:jc w:val="center"/>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b w:val="1"/>
      <w:sz w:val="24"/>
      <w:bCs/>
      <w:kern w:val="0"/>
      <w:szCs w:val="24"/>
      <w:rFonts w:ascii="宋体" w:hAnsi="宋体" w:eastAsia="宋体" w:cs="宋体"/>
    </w:rPr>
  </w:style>
  <w:style w:type="paragraph" w:styleId="124" w:customStyle="1">
    <w:name w:val="xl77"/>
    <w:basedOn w:val="1"/>
    <w:uiPriority w:val="0"/>
    <w:qFormat/>
    <w:pPr>
      <w:widowControl w:val="1"/>
      <w:jc w:val="center"/>
      <w:pBdr>
        <w:top w:val="single" w:color="auto" w:sz="4" w:space="0"/>
        <w:left w:val="single" w:color="auto" w:sz="4" w:space="0"/>
        <w:bottom w:val="single" w:color="auto" w:sz="4" w:space="0"/>
      </w:pBdr>
      <w:spacing w:after="100" w:afterAutospacing="1" w:before="100" w:beforeAutospacing="1"/>
    </w:pPr>
    <w:rPr>
      <w:sz w:val="24"/>
      <w:kern w:val="0"/>
      <w:szCs w:val="24"/>
      <w:rFonts w:ascii="宋体" w:hAnsi="宋体" w:eastAsia="宋体" w:cs="宋体"/>
    </w:rPr>
  </w:style>
  <w:style w:type="character" w:styleId="125" w:customStyle="1">
    <w:name w:val="列表段落 字符"/>
    <w:link w:val="56"/>
    <w:uiPriority w:val="0"/>
    <w:qFormat/>
    <w:rPr>
      <w:sz w:val="21"/>
      <w:kern w:val="2"/>
      <w:szCs w:val="22"/>
      <w:rFonts w:asciiTheme="minorHAnsi" w:hAnsiTheme="minorHAnsi" w:eastAsiaTheme="minorEastAsia" w:cstheme="minorBidi"/>
    </w:rPr>
  </w:style>
  <w:style w:type="character" w:styleId="126" w:customStyle="1">
    <w:name w:val="标题 字符"/>
    <w:basedOn w:val="35"/>
    <w:link w:val="31"/>
    <w:uiPriority w:val="0"/>
    <w:qFormat/>
    <w:rPr>
      <w:b w:val="1"/>
      <w:sz w:val="32"/>
      <w:bCs/>
      <w:kern w:val="2"/>
      <w:szCs w:val="32"/>
      <w:rFonts w:ascii="Arial" w:hAnsi="Arial" w:cs="Arial"/>
    </w:rPr>
  </w:style>
</w:styles>
</file>

<file path=word/_rels/document.xml.rels><?xml version="1.0" encoding="UTF-8" standalone="yes"?><Relationships xmlns="http://schemas.openxmlformats.org/package/2006/relationships"><Relationship Id="rId17" Type="http://schemas.openxmlformats.org/officeDocument/2006/relationships/image" Target="media/image3.png" /><Relationship Id="rId16" Type="http://schemas.openxmlformats.org/officeDocument/2006/relationships/image" Target="media/image1.emf" /><Relationship Id="rId12" Type="http://schemas.openxmlformats.org/officeDocument/2006/relationships/image" Target="media/image1.png" /><Relationship Id="rId11" Type="http://schemas.openxmlformats.org/officeDocument/2006/relationships/image" Target="media/image1.jpeg" /><Relationship Id="rId4" Type="http://schemas.openxmlformats.org/officeDocument/2006/relationships/numbering" Target="numbering.xml" /><Relationship Id="rId9" Type="http://schemas.openxmlformats.org/officeDocument/2006/relationships/header" Target="header3.xml" /><Relationship Id="rId14" Type="http://schemas.openxmlformats.org/officeDocument/2006/relationships/image" Target="media/image2.png" /><Relationship Id="rId7" Type="http://schemas.openxmlformats.org/officeDocument/2006/relationships/footer" Target="footer1.xml" /><Relationship Id="rId6" Type="http://schemas.openxmlformats.org/officeDocument/2006/relationships/header" Target="header2.xml" /><Relationship Id="rId15" Type="http://schemas.openxmlformats.org/officeDocument/2006/relationships/image" Target="media/image3.jpeg" /><Relationship Id="rId13" Type="http://schemas.openxmlformats.org/officeDocument/2006/relationships/image" Target="media/image2.jpeg" /><Relationship Id="rId8" Type="http://schemas.openxmlformats.org/officeDocument/2006/relationships/footer" Target="footer2.xml" /><Relationship Id="rId5" Type="http://schemas.openxmlformats.org/officeDocument/2006/relationships/header" Target="header1.xml" /><Relationship Id="rId10" Type="http://schemas.openxmlformats.org/officeDocument/2006/relationships/footer" Target="footer3.xml" /><Relationship Id="rId2" Type="http://schemas.openxmlformats.org/officeDocument/2006/relationships/fontTable" Target="fontTable.xml" /><Relationship Id="rId1" Type="http://schemas.openxmlformats.org/officeDocument/2006/relationships/settings" Target="settings.xml" /><Relationship Id="rId3" Type="http://schemas.openxmlformats.org/officeDocument/2006/relationships/theme" Target="theme/theme1.xml" /><Relationship Id="rId0"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
        <a:ea typeface=""/>
        <a:cs typeface=""/>
        <a:font script="Viet" typeface="Times New Roman"/>
        <a:font script="Geor" typeface="Sylfaen"/>
        <a:font script="Sinh" typeface="Iskoola Pota"/>
        <a:font script="Laoo" typeface="DokChampa"/>
        <a:font script="Orya" typeface="Kalinga"/>
        <a:font script="Mong" typeface="Mongolian Baiti"/>
        <a:font script="Mlym" typeface="Kartika"/>
        <a:font script="Hang" typeface="맑은 고딕"/>
        <a:font script="Telu" typeface="Gautami"/>
        <a:font script="Deva" typeface="Mangal"/>
        <a:font script="Tibt" typeface="Microsoft Himalaya"/>
        <a:font script="Cans" typeface="Euphemia"/>
        <a:font script="Khmr" typeface="MoolBoran"/>
        <a:font script="Syrc" typeface="Estrangelo Edessa"/>
        <a:font script="Thai" typeface="Angsana New"/>
        <a:font script="Gujr" typeface="Shruti"/>
        <a:font script="Uigh" typeface="Microsoft Uighur"/>
        <a:font script="Beng" typeface="Vrinda"/>
        <a:font script="Jpan" typeface="游ゴシック Light"/>
        <a:font script="Thaa" typeface="MV Boli"/>
        <a:font script="Cher" typeface="Plantagenet Cherokee"/>
        <a:font script="Hebr" typeface="Times New Roman"/>
        <a:font script="Yiii" typeface="Microsoft Yi Baiti"/>
        <a:font script="Guru" typeface="Raavi"/>
        <a:font script="Hans" typeface="等线 Light"/>
        <a:font script="Ethi" typeface="Nyala"/>
        <a:font script="Taml" typeface="Latha"/>
        <a:font script="Knda" typeface="Tunga"/>
        <a:font script="Arab" typeface="Times New Roman"/>
        <a:font script="Hant" typeface="新細明體"/>
      </a:majorFont>
      <a:minorFont>
        <a:latin typeface="等线" panose=""/>
        <a:ea typeface=""/>
        <a:cs typeface=""/>
        <a:font script="Viet" typeface="Arial"/>
        <a:font script="Geor" typeface="Sylfaen"/>
        <a:font script="Sinh" typeface="Iskoola Pota"/>
        <a:font script="Laoo" typeface="DokChampa"/>
        <a:font script="Orya" typeface="Kalinga"/>
        <a:font script="Mong" typeface="Mongolian Baiti"/>
        <a:font script="Mlym" typeface="Kartika"/>
        <a:font script="Hang" typeface="맑은 고딕"/>
        <a:font script="Telu" typeface="Gautami"/>
        <a:font script="Deva" typeface="Mangal"/>
        <a:font script="Tibt" typeface="Microsoft Himalaya"/>
        <a:font script="Cans" typeface="Euphemia"/>
        <a:font script="Khmr" typeface="DaunPenh"/>
        <a:font script="Syrc" typeface="Estrangelo Edessa"/>
        <a:font script="Thai" typeface="Cordia New"/>
        <a:font script="Gujr" typeface="Shruti"/>
        <a:font script="Uigh" typeface="Microsoft Uighur"/>
        <a:font script="Beng" typeface="Vrinda"/>
        <a:font script="Jpan" typeface="游明朝"/>
        <a:font script="Thaa" typeface="MV Boli"/>
        <a:font script="Cher" typeface="Plantagenet Cherokee"/>
        <a:font script="Hebr" typeface="Arial"/>
        <a:font script="Yiii" typeface="Microsoft Yi Baiti"/>
        <a:font script="Guru" typeface="Raavi"/>
        <a:font script="Hans" typeface="等线"/>
        <a:font script="Ethi" typeface="Nyala"/>
        <a:font script="Taml" typeface="Latha"/>
        <a:font script="Knda" typeface="Tunga"/>
        <a:font script="Arab" typeface="Arial"/>
        <a:font script="Hant" typeface="新細明體"/>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docProps/app.xml><?xml version="1.0" encoding="utf-8"?>
<Properties xmlns:vt="http://schemas.openxmlformats.org/officeDocument/2006/docPropsVTypes" xmlns="http://schemas.openxmlformats.org/officeDocument/2006/extended-properties">
  <Template>Normal</Template>
  <TotalTime>50</TotalTime>
  <Pages>29</Pages>
  <Words>387</Words>
  <Characters>546</Characters>
  <Application>WPS Office_12.1.0.29161_F1E327BC-269C-435d-A152-05C5408002CA</Application>
  <DocSecurity>0</DocSecurity>
  <Lines>140</Lines>
  <Paragraphs>39</Paragraphs>
  <ScaleCrop>false</ScaleCrop>
  <Company>GW</Company>
  <LinksUpToDate>false</LinksUpToDate>
  <CharactersWithSpaces>616</CharactersWithSpaces>
  <SharedDoc>false</SharedDoc>
  <HyperlinksChanged>false</HyperlinksChanged>
</Properties>
</file>

<file path=docProps/core.xml><?xml version="1.0" encoding="utf-8"?>
<cp:coreProperties xmlns:xsi="http://www.w3.org/2001/XMLSchema-instance" xmlns:dcmitype="http://purl.org/dc/dcmitype/" xmlns:dc="http://purl.org/dc/elements/1.1/" xmlns:dcterms="http://purl.org/dc/terms/" xmlns:cp="http://schemas.openxmlformats.org/package/2006/metadata/core-properties">
  <dc:title/>
  <dc:subject/>
  <dc:creator>PC</dc:creator>
  <cp:keywords/>
  <dc:description/>
  <cp:lastModifiedBy>浅时光</cp:lastModifiedBy>
  <cp:revision>168</cp:revision>
  <dcterms:created xsi:type="dcterms:W3CDTF">2020-11-03T02:31:00Z</dcterms:created>
  <dcterms:modified xsi:type="dcterms:W3CDTF">2026-10-30T06:42:12Z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2052-12.1.0.29161</vt:lpwstr>
  </property>
  <property fmtid="{D5CDD505-2E9C-101B-9397-08002B2CF9AE}" pid="3" name="KSOTemplateDocerSaveRecord">
    <vt:lpwstr>eyJoZGlkIjoiNTIyZWQ3OWM2MDM1ZWIyMGY0NjA2MTA5ZDlhYzNhMjMiLCJ1c2VySWQiOiIzNDA0ODQzMTYifQ==</vt:lpwstr>
  </property>
  <property fmtid="{D5CDD505-2E9C-101B-9397-08002B2CF9AE}" pid="4" name="ICV">
    <vt:lpwstr>23A7C3A796884245A3C8EA3D0C199D54_13</vt:lpwstr>
  </property>
</Properties>
</file>

<file path=tbak/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C4BA86">
      <w:pPr>
        <w:rPr>
          <w:rFonts w:hint="eastAsia" w:ascii="华文中宋" w:hAnsi="华文中宋" w:eastAsia="华文中宋"/>
          <w:b/>
          <w:color w:val="auto"/>
          <w:sz w:val="72"/>
          <w:szCs w:val="72"/>
        </w:rPr>
      </w:pPr>
    </w:p>
    <w:p w14:paraId="24849661">
      <w:pPr>
        <w:spacing w:line="720" w:lineRule="auto"/>
        <w:jc w:val="center"/>
        <w:rPr>
          <w:rFonts w:hint="eastAsia" w:ascii="华文中宋" w:hAnsi="华文中宋" w:eastAsia="华文中宋"/>
          <w:b/>
          <w:color w:val="auto"/>
          <w:sz w:val="56"/>
          <w:szCs w:val="56"/>
        </w:rPr>
      </w:pPr>
      <w:r>
        <w:rPr>
          <w:rFonts w:hint="eastAsia" w:ascii="华文中宋" w:hAnsi="华文中宋" w:eastAsia="华文中宋"/>
          <w:b/>
          <w:color w:val="auto"/>
          <w:sz w:val="56"/>
          <w:szCs w:val="56"/>
        </w:rPr>
        <w:t>成都八一骨科</w:t>
      </w:r>
      <w:r>
        <w:rPr>
          <w:rFonts w:ascii="华文中宋" w:hAnsi="华文中宋" w:eastAsia="华文中宋"/>
          <w:b/>
          <w:color w:val="auto"/>
          <w:sz w:val="56"/>
          <w:szCs w:val="56"/>
        </w:rPr>
        <w:t>医院</w:t>
      </w:r>
    </w:p>
    <w:p w14:paraId="6CAB439D">
      <w:pPr>
        <w:spacing w:line="720" w:lineRule="auto"/>
        <w:jc w:val="center"/>
        <w:rPr>
          <w:rFonts w:hint="eastAsia" w:ascii="华文中宋" w:hAnsi="华文中宋" w:eastAsia="华文中宋"/>
          <w:b/>
          <w:color w:val="auto"/>
          <w:sz w:val="56"/>
          <w:szCs w:val="56"/>
        </w:rPr>
      </w:pPr>
      <w:r>
        <w:rPr>
          <w:rFonts w:hint="eastAsia" w:ascii="华文中宋" w:hAnsi="华文中宋" w:eastAsia="华文中宋"/>
          <w:b/>
          <w:color w:val="auto"/>
          <w:sz w:val="56"/>
          <w:szCs w:val="56"/>
        </w:rPr>
        <w:t>智慧用电运维管理系统</w:t>
      </w:r>
    </w:p>
    <w:p w14:paraId="10A239B6">
      <w:pPr>
        <w:spacing w:line="720" w:lineRule="auto"/>
        <w:ind w:firstLine="3243" w:firstLineChars="450"/>
        <w:rPr>
          <w:rFonts w:hint="eastAsia" w:ascii="华文中宋" w:hAnsi="华文中宋" w:eastAsia="华文中宋"/>
          <w:b/>
          <w:color w:val="auto"/>
          <w:sz w:val="72"/>
          <w:szCs w:val="72"/>
        </w:rPr>
      </w:pPr>
    </w:p>
    <w:p w14:paraId="75D6B398">
      <w:pPr>
        <w:spacing w:line="720" w:lineRule="auto"/>
        <w:ind w:firstLine="3243" w:firstLineChars="450"/>
        <w:rPr>
          <w:rFonts w:hint="eastAsia" w:ascii="华文中宋" w:hAnsi="华文中宋" w:eastAsia="华文中宋"/>
          <w:b/>
          <w:color w:val="auto"/>
          <w:sz w:val="72"/>
          <w:szCs w:val="72"/>
        </w:rPr>
      </w:pPr>
    </w:p>
    <w:p w14:paraId="014DD88C">
      <w:pPr>
        <w:spacing w:line="720" w:lineRule="auto"/>
        <w:jc w:val="center"/>
        <w:rPr>
          <w:rFonts w:hint="eastAsia" w:ascii="华文中宋" w:hAnsi="华文中宋" w:eastAsia="华文中宋"/>
          <w:b/>
          <w:color w:val="auto"/>
          <w:sz w:val="72"/>
          <w:szCs w:val="72"/>
        </w:rPr>
      </w:pPr>
      <w:r>
        <w:rPr>
          <w:rFonts w:hint="eastAsia" w:ascii="华文中宋" w:hAnsi="华文中宋" w:eastAsia="华文中宋"/>
          <w:b/>
          <w:color w:val="auto"/>
          <w:sz w:val="72"/>
          <w:szCs w:val="72"/>
        </w:rPr>
        <w:t>技术规范书</w:t>
      </w:r>
    </w:p>
    <w:p w14:paraId="227925BD">
      <w:pPr>
        <w:spacing w:line="720" w:lineRule="auto"/>
        <w:rPr>
          <w:rFonts w:hint="eastAsia" w:ascii="宋体" w:hAnsi="宋体" w:eastAsia="宋体"/>
          <w:color w:val="auto"/>
          <w:sz w:val="48"/>
          <w:szCs w:val="48"/>
        </w:rPr>
      </w:pPr>
    </w:p>
    <w:p w14:paraId="2E210950">
      <w:pPr>
        <w:spacing w:line="720" w:lineRule="auto"/>
        <w:rPr>
          <w:rFonts w:hint="eastAsia" w:ascii="宋体" w:hAnsi="宋体" w:eastAsia="宋体"/>
          <w:color w:val="auto"/>
          <w:sz w:val="48"/>
          <w:szCs w:val="48"/>
        </w:rPr>
      </w:pPr>
    </w:p>
    <w:p w14:paraId="10D736A4">
      <w:pPr>
        <w:spacing w:line="720" w:lineRule="auto"/>
        <w:rPr>
          <w:rFonts w:hint="eastAsia" w:ascii="宋体" w:hAnsi="宋体" w:eastAsia="宋体"/>
          <w:color w:val="auto"/>
          <w:sz w:val="48"/>
          <w:szCs w:val="48"/>
        </w:rPr>
      </w:pPr>
    </w:p>
    <w:p w14:paraId="431CEC2C">
      <w:pPr>
        <w:spacing w:line="720" w:lineRule="auto"/>
        <w:rPr>
          <w:rFonts w:hint="eastAsia" w:ascii="宋体" w:hAnsi="宋体" w:eastAsia="宋体"/>
          <w:color w:val="auto"/>
          <w:sz w:val="48"/>
          <w:szCs w:val="48"/>
        </w:rPr>
      </w:pPr>
    </w:p>
    <w:p w14:paraId="4152A784">
      <w:pPr>
        <w:spacing w:line="720" w:lineRule="auto"/>
        <w:rPr>
          <w:rFonts w:hint="eastAsia" w:ascii="宋体" w:hAnsi="宋体" w:eastAsia="宋体"/>
          <w:color w:val="auto"/>
          <w:sz w:val="48"/>
          <w:szCs w:val="48"/>
        </w:rPr>
      </w:pPr>
    </w:p>
    <w:p w14:paraId="75F6CF0C">
      <w:pPr>
        <w:spacing w:line="720" w:lineRule="auto"/>
        <w:jc w:val="center"/>
        <w:rPr>
          <w:rFonts w:hint="eastAsia" w:ascii="宋体" w:hAnsi="宋体" w:eastAsia="宋体"/>
          <w:b/>
          <w:bCs/>
          <w:color w:val="auto"/>
          <w:sz w:val="32"/>
          <w:szCs w:val="32"/>
        </w:rPr>
      </w:pPr>
      <w:r>
        <w:rPr>
          <w:rFonts w:hint="eastAsia" w:ascii="宋体" w:hAnsi="宋体" w:eastAsia="宋体"/>
          <w:b/>
          <w:bCs/>
          <w:color w:val="auto"/>
          <w:sz w:val="32"/>
          <w:szCs w:val="32"/>
        </w:rPr>
        <w:t>西安</w:t>
      </w:r>
      <w:r>
        <w:rPr>
          <w:rFonts w:hint="eastAsia" w:ascii="宋体" w:hAnsi="宋体" w:eastAsia="宋体"/>
          <w:b/>
          <w:bCs/>
          <w:color w:val="auto"/>
          <w:sz w:val="32"/>
          <w:szCs w:val="32"/>
          <w:lang w:val="en-US" w:eastAsia="zh-CN"/>
        </w:rPr>
        <w:t>诺普电气工程技术有限公司</w:t>
      </w:r>
    </w:p>
    <w:p w14:paraId="2E37E0C6">
      <w:pPr>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202</w:t>
      </w:r>
      <w:r>
        <w:rPr>
          <w:rFonts w:ascii="宋体" w:hAnsi="宋体" w:eastAsia="宋体" w:cs="宋体"/>
          <w:b/>
          <w:color w:val="auto"/>
          <w:sz w:val="28"/>
          <w:szCs w:val="28"/>
        </w:rPr>
        <w:t>6</w:t>
      </w:r>
      <w:r>
        <w:rPr>
          <w:rFonts w:hint="eastAsia" w:ascii="宋体" w:hAnsi="宋体" w:eastAsia="宋体" w:cs="宋体"/>
          <w:b/>
          <w:color w:val="auto"/>
          <w:sz w:val="28"/>
          <w:szCs w:val="28"/>
        </w:rPr>
        <w:t>年</w:t>
      </w:r>
      <w:r>
        <w:rPr>
          <w:rFonts w:ascii="宋体" w:hAnsi="宋体" w:eastAsia="宋体" w:cs="宋体"/>
          <w:b/>
          <w:color w:val="auto"/>
          <w:sz w:val="28"/>
          <w:szCs w:val="28"/>
        </w:rPr>
        <w:t>10</w:t>
      </w:r>
      <w:r>
        <w:rPr>
          <w:rFonts w:hint="eastAsia" w:ascii="宋体" w:hAnsi="宋体" w:eastAsia="宋体" w:cs="宋体"/>
          <w:b/>
          <w:color w:val="auto"/>
          <w:sz w:val="28"/>
          <w:szCs w:val="28"/>
        </w:rPr>
        <w:t>月</w:t>
      </w:r>
    </w:p>
    <w:p w14:paraId="2EFF0E54">
      <w:pPr>
        <w:rPr>
          <w:rFonts w:hint="eastAsia"/>
          <w:b/>
          <w:color w:val="auto"/>
          <w:sz w:val="28"/>
          <w:szCs w:val="28"/>
        </w:rPr>
        <w:sectPr>
          <w:headerReference r:id="rId4" w:type="first"/>
          <w:headerReference r:id="rId3" w:type="default"/>
          <w:type w:val="continuous"/>
          <w:pgSz w:w="11906" w:h="16838"/>
          <w:pgMar w:top="1418" w:right="1418" w:bottom="1418" w:left="1418" w:header="851" w:footer="992" w:gutter="0"/>
          <w:pgNumType w:start="1"/>
          <w:cols w:space="425" w:num="1"/>
          <w:titlePg/>
          <w:docGrid w:type="lines" w:linePitch="312" w:charSpace="0"/>
        </w:sectPr>
      </w:pPr>
    </w:p>
    <w:p w14:paraId="5231E1ED">
      <w:pPr>
        <w:spacing w:line="360" w:lineRule="auto"/>
        <w:jc w:val="center"/>
        <w:rPr>
          <w:rFonts w:ascii="宋体" w:hAnsi="宋体" w:eastAsia="宋体"/>
          <w:b/>
          <w:bCs/>
          <w:color w:val="auto"/>
          <w:sz w:val="36"/>
          <w:szCs w:val="36"/>
        </w:rPr>
      </w:pPr>
      <w:r>
        <w:rPr>
          <w:rFonts w:hint="eastAsia" w:ascii="宋体" w:hAnsi="宋体" w:eastAsia="宋体"/>
          <w:b/>
          <w:bCs/>
          <w:color w:val="auto"/>
          <w:sz w:val="36"/>
          <w:szCs w:val="36"/>
        </w:rPr>
        <w:t>目   录</w:t>
      </w:r>
    </w:p>
    <w:p w14:paraId="2225838D">
      <w:pPr>
        <w:pStyle w:val="22"/>
        <w:tabs>
          <w:tab w:val="right" w:leader="dot" w:pos="9060"/>
        </w:tabs>
        <w:rPr>
          <w:rFonts w:hint="eastAsia" w:eastAsiaTheme="minorEastAsia"/>
          <w:b w:val="0"/>
          <w:bCs w:val="0"/>
          <w:caps w:val="0"/>
          <w:color w:val="auto"/>
          <w:sz w:val="22"/>
          <w:szCs w:val="24"/>
          <w14:ligatures w14:val="standardContextual"/>
        </w:rPr>
      </w:pPr>
      <w:r>
        <w:rPr>
          <w:rFonts w:hint="eastAsia" w:ascii="宋体" w:hAnsi="宋体" w:eastAsia="宋体"/>
          <w:color w:val="auto"/>
          <w:sz w:val="24"/>
          <w:szCs w:val="24"/>
        </w:rPr>
        <w:fldChar w:fldCharType="begin"/>
      </w:r>
      <w:r>
        <w:rPr>
          <w:rFonts w:hint="eastAsia" w:ascii="宋体" w:hAnsi="宋体" w:eastAsia="宋体"/>
          <w:color w:val="auto"/>
          <w:sz w:val="24"/>
          <w:szCs w:val="24"/>
        </w:rPr>
        <w:instrText xml:space="preserve"> TOC \o "1-3" \h \z \u </w:instrText>
      </w:r>
      <w:r>
        <w:rPr>
          <w:rFonts w:hint="eastAsia" w:ascii="宋体" w:hAnsi="宋体" w:eastAsia="宋体"/>
          <w:color w:val="auto"/>
          <w:sz w:val="24"/>
          <w:szCs w:val="24"/>
        </w:rPr>
        <w:fldChar w:fldCharType="separate"/>
      </w:r>
      <w:r>
        <w:rPr>
          <w:color w:val="auto"/>
        </w:rPr>
        <w:fldChar w:fldCharType="begin"/>
      </w:r>
      <w:r>
        <w:rPr>
          <w:color w:val="auto"/>
        </w:rPr>
        <w:instrText xml:space="preserve"> HYPERLINK \l "_Toc244176378" </w:instrText>
      </w:r>
      <w:r>
        <w:rPr>
          <w:color w:val="auto"/>
        </w:rPr>
        <w:fldChar w:fldCharType="separate"/>
      </w:r>
      <w:r>
        <w:rPr>
          <w:rStyle w:val="38"/>
          <w:rFonts w:ascii="宋体" w:hAnsi="宋体" w:eastAsia="宋体"/>
          <w:color w:val="auto"/>
        </w:rPr>
        <w:t>一、总则</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_Toc244176378 \h</w:instrText>
      </w:r>
      <w:r>
        <w:rPr>
          <w:rFonts w:hint="eastAsia"/>
          <w:color w:val="auto"/>
        </w:rPr>
        <w:instrText xml:space="preserve"> </w:instrText>
      </w:r>
      <w:r>
        <w:rPr>
          <w:rFonts w:hint="eastAsia"/>
          <w:color w:val="auto"/>
        </w:rPr>
        <w:fldChar w:fldCharType="separate"/>
      </w:r>
      <w:r>
        <w:rPr>
          <w:rFonts w:hint="eastAsia"/>
          <w:color w:val="auto"/>
        </w:rPr>
        <w:t>1</w:t>
      </w:r>
      <w:r>
        <w:rPr>
          <w:rFonts w:hint="eastAsia"/>
          <w:color w:val="auto"/>
        </w:rPr>
        <w:fldChar w:fldCharType="end"/>
      </w:r>
      <w:r>
        <w:rPr>
          <w:rFonts w:hint="eastAsia"/>
          <w:color w:val="auto"/>
        </w:rPr>
        <w:fldChar w:fldCharType="end"/>
      </w:r>
    </w:p>
    <w:p w14:paraId="14348327">
      <w:pPr>
        <w:pStyle w:val="26"/>
        <w:tabs>
          <w:tab w:val="right" w:leader="dot" w:pos="9060"/>
        </w:tabs>
        <w:rPr>
          <w:rFonts w:hint="eastAsia" w:eastAsiaTheme="minorEastAsia"/>
          <w:smallCaps w:val="0"/>
          <w:color w:val="auto"/>
          <w:sz w:val="22"/>
          <w:szCs w:val="24"/>
          <w14:ligatures w14:val="standardContextual"/>
        </w:rPr>
      </w:pPr>
      <w:r>
        <w:rPr>
          <w:color w:val="auto"/>
        </w:rPr>
        <w:fldChar w:fldCharType="begin"/>
      </w:r>
      <w:r>
        <w:rPr>
          <w:color w:val="auto"/>
        </w:rPr>
        <w:instrText xml:space="preserve"> HYPERLINK \l "_Toc244176379" </w:instrText>
      </w:r>
      <w:r>
        <w:rPr>
          <w:color w:val="auto"/>
        </w:rPr>
        <w:fldChar w:fldCharType="separate"/>
      </w:r>
      <w:r>
        <w:rPr>
          <w:rStyle w:val="38"/>
          <w:rFonts w:ascii="宋体" w:hAnsi="宋体" w:eastAsia="宋体"/>
          <w:b/>
          <w:bCs/>
          <w:color w:val="auto"/>
        </w:rPr>
        <w:t>1.1 引言</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_Toc244176379 \h</w:instrText>
      </w:r>
      <w:r>
        <w:rPr>
          <w:rFonts w:hint="eastAsia"/>
          <w:color w:val="auto"/>
        </w:rPr>
        <w:instrText xml:space="preserve"> </w:instrText>
      </w:r>
      <w:r>
        <w:rPr>
          <w:rFonts w:hint="eastAsia"/>
          <w:color w:val="auto"/>
        </w:rPr>
        <w:fldChar w:fldCharType="separate"/>
      </w:r>
      <w:r>
        <w:rPr>
          <w:rFonts w:hint="eastAsia"/>
          <w:color w:val="auto"/>
        </w:rPr>
        <w:t>1</w:t>
      </w:r>
      <w:r>
        <w:rPr>
          <w:rFonts w:hint="eastAsia"/>
          <w:color w:val="auto"/>
        </w:rPr>
        <w:fldChar w:fldCharType="end"/>
      </w:r>
      <w:r>
        <w:rPr>
          <w:rFonts w:hint="eastAsia"/>
          <w:color w:val="auto"/>
        </w:rPr>
        <w:fldChar w:fldCharType="end"/>
      </w:r>
    </w:p>
    <w:p w14:paraId="3D983B38">
      <w:pPr>
        <w:pStyle w:val="26"/>
        <w:tabs>
          <w:tab w:val="right" w:leader="dot" w:pos="9060"/>
        </w:tabs>
        <w:rPr>
          <w:rFonts w:hint="eastAsia" w:eastAsiaTheme="minorEastAsia"/>
          <w:smallCaps w:val="0"/>
          <w:color w:val="auto"/>
          <w:sz w:val="22"/>
          <w:szCs w:val="24"/>
          <w14:ligatures w14:val="standardContextual"/>
        </w:rPr>
      </w:pPr>
      <w:r>
        <w:rPr>
          <w:color w:val="auto"/>
        </w:rPr>
        <w:fldChar w:fldCharType="begin"/>
      </w:r>
      <w:r>
        <w:rPr>
          <w:color w:val="auto"/>
        </w:rPr>
        <w:instrText xml:space="preserve"> HYPERLINK \l "_Toc244176380" </w:instrText>
      </w:r>
      <w:r>
        <w:rPr>
          <w:color w:val="auto"/>
        </w:rPr>
        <w:fldChar w:fldCharType="separate"/>
      </w:r>
      <w:r>
        <w:rPr>
          <w:rStyle w:val="38"/>
          <w:rFonts w:ascii="宋体" w:hAnsi="宋体" w:eastAsia="宋体"/>
          <w:b/>
          <w:bCs/>
          <w:color w:val="auto"/>
        </w:rPr>
        <w:t>1.2　供方职责</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_Toc244176380 \h</w:instrText>
      </w:r>
      <w:r>
        <w:rPr>
          <w:rFonts w:hint="eastAsia"/>
          <w:color w:val="auto"/>
        </w:rPr>
        <w:instrText xml:space="preserve"> </w:instrText>
      </w:r>
      <w:r>
        <w:rPr>
          <w:rFonts w:hint="eastAsia"/>
          <w:color w:val="auto"/>
        </w:rPr>
        <w:fldChar w:fldCharType="separate"/>
      </w:r>
      <w:r>
        <w:rPr>
          <w:rFonts w:hint="eastAsia"/>
          <w:color w:val="auto"/>
        </w:rPr>
        <w:t>1</w:t>
      </w:r>
      <w:r>
        <w:rPr>
          <w:rFonts w:hint="eastAsia"/>
          <w:color w:val="auto"/>
        </w:rPr>
        <w:fldChar w:fldCharType="end"/>
      </w:r>
      <w:r>
        <w:rPr>
          <w:rFonts w:hint="eastAsia"/>
          <w:color w:val="auto"/>
        </w:rPr>
        <w:fldChar w:fldCharType="end"/>
      </w:r>
    </w:p>
    <w:p w14:paraId="1424BB33">
      <w:pPr>
        <w:pStyle w:val="22"/>
        <w:tabs>
          <w:tab w:val="right" w:leader="dot" w:pos="9060"/>
        </w:tabs>
        <w:rPr>
          <w:rFonts w:hint="eastAsia" w:eastAsiaTheme="minorEastAsia"/>
          <w:b w:val="0"/>
          <w:bCs w:val="0"/>
          <w:caps w:val="0"/>
          <w:color w:val="auto"/>
          <w:sz w:val="22"/>
          <w:szCs w:val="24"/>
          <w14:ligatures w14:val="standardContextual"/>
        </w:rPr>
      </w:pPr>
      <w:r>
        <w:rPr>
          <w:color w:val="auto"/>
        </w:rPr>
        <w:fldChar w:fldCharType="begin"/>
      </w:r>
      <w:r>
        <w:rPr>
          <w:color w:val="auto"/>
        </w:rPr>
        <w:instrText xml:space="preserve"> HYPERLINK \l "_Toc244176381" </w:instrText>
      </w:r>
      <w:r>
        <w:rPr>
          <w:color w:val="auto"/>
        </w:rPr>
        <w:fldChar w:fldCharType="separate"/>
      </w:r>
      <w:r>
        <w:rPr>
          <w:rStyle w:val="38"/>
          <w:rFonts w:ascii="宋体" w:hAnsi="宋体" w:eastAsia="宋体"/>
          <w:color w:val="auto"/>
        </w:rPr>
        <w:t>二、项目现状</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_Toc244176381 \h</w:instrText>
      </w:r>
      <w:r>
        <w:rPr>
          <w:rFonts w:hint="eastAsia"/>
          <w:color w:val="auto"/>
        </w:rPr>
        <w:instrText xml:space="preserve"> </w:instrText>
      </w:r>
      <w:r>
        <w:rPr>
          <w:rFonts w:hint="eastAsia"/>
          <w:color w:val="auto"/>
        </w:rPr>
        <w:fldChar w:fldCharType="separate"/>
      </w:r>
      <w:r>
        <w:rPr>
          <w:rFonts w:hint="eastAsia"/>
          <w:color w:val="auto"/>
        </w:rPr>
        <w:t>2</w:t>
      </w:r>
      <w:r>
        <w:rPr>
          <w:rFonts w:hint="eastAsia"/>
          <w:color w:val="auto"/>
        </w:rPr>
        <w:fldChar w:fldCharType="end"/>
      </w:r>
      <w:r>
        <w:rPr>
          <w:rFonts w:hint="eastAsia"/>
          <w:color w:val="auto"/>
        </w:rPr>
        <w:fldChar w:fldCharType="end"/>
      </w:r>
    </w:p>
    <w:p w14:paraId="602E3D8F">
      <w:pPr>
        <w:pStyle w:val="26"/>
        <w:tabs>
          <w:tab w:val="right" w:leader="dot" w:pos="9060"/>
        </w:tabs>
        <w:rPr>
          <w:rFonts w:hint="eastAsia" w:eastAsiaTheme="minorEastAsia"/>
          <w:smallCaps w:val="0"/>
          <w:color w:val="auto"/>
          <w:sz w:val="22"/>
          <w:szCs w:val="24"/>
          <w14:ligatures w14:val="standardContextual"/>
        </w:rPr>
      </w:pPr>
      <w:r>
        <w:rPr>
          <w:color w:val="auto"/>
        </w:rPr>
        <w:fldChar w:fldCharType="begin"/>
      </w:r>
      <w:r>
        <w:rPr>
          <w:color w:val="auto"/>
        </w:rPr>
        <w:instrText xml:space="preserve"> HYPERLINK \l "_Toc244176382" </w:instrText>
      </w:r>
      <w:r>
        <w:rPr>
          <w:color w:val="auto"/>
        </w:rPr>
        <w:fldChar w:fldCharType="separate"/>
      </w:r>
      <w:r>
        <w:rPr>
          <w:rStyle w:val="38"/>
          <w:rFonts w:ascii="宋体" w:hAnsi="宋体" w:eastAsia="宋体"/>
          <w:b/>
          <w:bCs/>
          <w:color w:val="auto"/>
        </w:rPr>
        <w:t>2.1 配电室概况</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_Toc244176382 \h</w:instrText>
      </w:r>
      <w:r>
        <w:rPr>
          <w:rFonts w:hint="eastAsia"/>
          <w:color w:val="auto"/>
        </w:rPr>
        <w:instrText xml:space="preserve"> </w:instrText>
      </w:r>
      <w:r>
        <w:rPr>
          <w:rFonts w:hint="eastAsia"/>
          <w:color w:val="auto"/>
        </w:rPr>
        <w:fldChar w:fldCharType="separate"/>
      </w:r>
      <w:r>
        <w:rPr>
          <w:rFonts w:hint="eastAsia"/>
          <w:color w:val="auto"/>
        </w:rPr>
        <w:t>2</w:t>
      </w:r>
      <w:r>
        <w:rPr>
          <w:rFonts w:hint="eastAsia"/>
          <w:color w:val="auto"/>
        </w:rPr>
        <w:fldChar w:fldCharType="end"/>
      </w:r>
      <w:r>
        <w:rPr>
          <w:rFonts w:hint="eastAsia"/>
          <w:color w:val="auto"/>
        </w:rPr>
        <w:fldChar w:fldCharType="end"/>
      </w:r>
    </w:p>
    <w:p w14:paraId="68FC9354">
      <w:pPr>
        <w:pStyle w:val="26"/>
        <w:tabs>
          <w:tab w:val="right" w:leader="dot" w:pos="9060"/>
        </w:tabs>
        <w:rPr>
          <w:rFonts w:hint="eastAsia" w:eastAsiaTheme="minorEastAsia"/>
          <w:smallCaps w:val="0"/>
          <w:color w:val="auto"/>
          <w:sz w:val="22"/>
          <w:szCs w:val="24"/>
          <w14:ligatures w14:val="standardContextual"/>
        </w:rPr>
      </w:pPr>
      <w:r>
        <w:rPr>
          <w:color w:val="auto"/>
        </w:rPr>
        <w:fldChar w:fldCharType="begin"/>
      </w:r>
      <w:r>
        <w:rPr>
          <w:color w:val="auto"/>
        </w:rPr>
        <w:instrText xml:space="preserve"> HYPERLINK \l "_Toc244176383" </w:instrText>
      </w:r>
      <w:r>
        <w:rPr>
          <w:color w:val="auto"/>
        </w:rPr>
        <w:fldChar w:fldCharType="separate"/>
      </w:r>
      <w:r>
        <w:rPr>
          <w:rStyle w:val="38"/>
          <w:rFonts w:ascii="宋体" w:hAnsi="宋体" w:eastAsia="宋体"/>
          <w:b/>
          <w:bCs/>
          <w:color w:val="auto"/>
        </w:rPr>
        <w:t>2.2 问题分析</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_Toc244176383 \h</w:instrText>
      </w:r>
      <w:r>
        <w:rPr>
          <w:rFonts w:hint="eastAsia"/>
          <w:color w:val="auto"/>
        </w:rPr>
        <w:instrText xml:space="preserve"> </w:instrText>
      </w:r>
      <w:r>
        <w:rPr>
          <w:rFonts w:hint="eastAsia"/>
          <w:color w:val="auto"/>
        </w:rPr>
        <w:fldChar w:fldCharType="separate"/>
      </w:r>
      <w:r>
        <w:rPr>
          <w:rFonts w:hint="eastAsia"/>
          <w:color w:val="auto"/>
        </w:rPr>
        <w:t>5</w:t>
      </w:r>
      <w:r>
        <w:rPr>
          <w:rFonts w:hint="eastAsia"/>
          <w:color w:val="auto"/>
        </w:rPr>
        <w:fldChar w:fldCharType="end"/>
      </w:r>
      <w:r>
        <w:rPr>
          <w:rFonts w:hint="eastAsia"/>
          <w:color w:val="auto"/>
        </w:rPr>
        <w:fldChar w:fldCharType="end"/>
      </w:r>
    </w:p>
    <w:p w14:paraId="3CACEB70">
      <w:pPr>
        <w:pStyle w:val="22"/>
        <w:tabs>
          <w:tab w:val="right" w:leader="dot" w:pos="9060"/>
        </w:tabs>
        <w:rPr>
          <w:rFonts w:hint="eastAsia" w:eastAsiaTheme="minorEastAsia"/>
          <w:b w:val="0"/>
          <w:bCs w:val="0"/>
          <w:caps w:val="0"/>
          <w:color w:val="auto"/>
          <w:sz w:val="22"/>
          <w:szCs w:val="24"/>
          <w14:ligatures w14:val="standardContextual"/>
        </w:rPr>
      </w:pPr>
      <w:r>
        <w:rPr>
          <w:color w:val="auto"/>
        </w:rPr>
        <w:fldChar w:fldCharType="begin"/>
      </w:r>
      <w:r>
        <w:rPr>
          <w:color w:val="auto"/>
        </w:rPr>
        <w:instrText xml:space="preserve"> HYPERLINK \l "_Toc244176384" </w:instrText>
      </w:r>
      <w:r>
        <w:rPr>
          <w:color w:val="auto"/>
        </w:rPr>
        <w:fldChar w:fldCharType="separate"/>
      </w:r>
      <w:r>
        <w:rPr>
          <w:rStyle w:val="38"/>
          <w:rFonts w:ascii="宋体" w:hAnsi="宋体" w:eastAsia="宋体"/>
          <w:color w:val="auto"/>
        </w:rPr>
        <w:t>三、总体设计方案</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_Toc244176384 \h</w:instrText>
      </w:r>
      <w:r>
        <w:rPr>
          <w:rFonts w:hint="eastAsia"/>
          <w:color w:val="auto"/>
        </w:rPr>
        <w:instrText xml:space="preserve"> </w:instrText>
      </w:r>
      <w:r>
        <w:rPr>
          <w:rFonts w:hint="eastAsia"/>
          <w:color w:val="auto"/>
        </w:rPr>
        <w:fldChar w:fldCharType="separate"/>
      </w:r>
      <w:r>
        <w:rPr>
          <w:rFonts w:hint="eastAsia"/>
          <w:color w:val="auto"/>
        </w:rPr>
        <w:t>6</w:t>
      </w:r>
      <w:r>
        <w:rPr>
          <w:rFonts w:hint="eastAsia"/>
          <w:color w:val="auto"/>
        </w:rPr>
        <w:fldChar w:fldCharType="end"/>
      </w:r>
      <w:r>
        <w:rPr>
          <w:rFonts w:hint="eastAsia"/>
          <w:color w:val="auto"/>
        </w:rPr>
        <w:fldChar w:fldCharType="end"/>
      </w:r>
    </w:p>
    <w:p w14:paraId="50D0ED12">
      <w:pPr>
        <w:pStyle w:val="26"/>
        <w:tabs>
          <w:tab w:val="right" w:leader="dot" w:pos="9060"/>
        </w:tabs>
        <w:rPr>
          <w:rFonts w:hint="eastAsia" w:eastAsiaTheme="minorEastAsia"/>
          <w:smallCaps w:val="0"/>
          <w:color w:val="auto"/>
          <w:sz w:val="22"/>
          <w:szCs w:val="24"/>
          <w14:ligatures w14:val="standardContextual"/>
        </w:rPr>
      </w:pPr>
      <w:r>
        <w:rPr>
          <w:color w:val="auto"/>
        </w:rPr>
        <w:fldChar w:fldCharType="begin"/>
      </w:r>
      <w:r>
        <w:rPr>
          <w:color w:val="auto"/>
        </w:rPr>
        <w:instrText xml:space="preserve"> HYPERLINK \l "_Toc244176385" </w:instrText>
      </w:r>
      <w:r>
        <w:rPr>
          <w:color w:val="auto"/>
        </w:rPr>
        <w:fldChar w:fldCharType="separate"/>
      </w:r>
      <w:r>
        <w:rPr>
          <w:rStyle w:val="38"/>
          <w:rFonts w:ascii="宋体" w:hAnsi="宋体" w:eastAsia="宋体"/>
          <w:b/>
          <w:bCs/>
          <w:color w:val="auto"/>
        </w:rPr>
        <w:t>3.1 设计原则</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_Toc244176385 \h</w:instrText>
      </w:r>
      <w:r>
        <w:rPr>
          <w:rFonts w:hint="eastAsia"/>
          <w:color w:val="auto"/>
        </w:rPr>
        <w:instrText xml:space="preserve"> </w:instrText>
      </w:r>
      <w:r>
        <w:rPr>
          <w:rFonts w:hint="eastAsia"/>
          <w:color w:val="auto"/>
        </w:rPr>
        <w:fldChar w:fldCharType="separate"/>
      </w:r>
      <w:r>
        <w:rPr>
          <w:rFonts w:hint="eastAsia"/>
          <w:color w:val="auto"/>
        </w:rPr>
        <w:t>6</w:t>
      </w:r>
      <w:r>
        <w:rPr>
          <w:rFonts w:hint="eastAsia"/>
          <w:color w:val="auto"/>
        </w:rPr>
        <w:fldChar w:fldCharType="end"/>
      </w:r>
      <w:r>
        <w:rPr>
          <w:rFonts w:hint="eastAsia"/>
          <w:color w:val="auto"/>
        </w:rPr>
        <w:fldChar w:fldCharType="end"/>
      </w:r>
    </w:p>
    <w:p w14:paraId="7A23AD04">
      <w:pPr>
        <w:pStyle w:val="26"/>
        <w:tabs>
          <w:tab w:val="right" w:leader="dot" w:pos="9060"/>
        </w:tabs>
        <w:rPr>
          <w:rFonts w:hint="eastAsia" w:eastAsiaTheme="minorEastAsia"/>
          <w:smallCaps w:val="0"/>
          <w:color w:val="auto"/>
          <w:sz w:val="22"/>
          <w:szCs w:val="24"/>
          <w14:ligatures w14:val="standardContextual"/>
        </w:rPr>
      </w:pPr>
      <w:r>
        <w:rPr>
          <w:color w:val="auto"/>
        </w:rPr>
        <w:fldChar w:fldCharType="begin"/>
      </w:r>
      <w:r>
        <w:rPr>
          <w:color w:val="auto"/>
        </w:rPr>
        <w:instrText xml:space="preserve"> HYPERLINK \l "_Toc244176386" </w:instrText>
      </w:r>
      <w:r>
        <w:rPr>
          <w:color w:val="auto"/>
        </w:rPr>
        <w:fldChar w:fldCharType="separate"/>
      </w:r>
      <w:r>
        <w:rPr>
          <w:rStyle w:val="38"/>
          <w:rFonts w:ascii="宋体" w:hAnsi="宋体" w:eastAsia="宋体"/>
          <w:b/>
          <w:bCs/>
          <w:color w:val="auto"/>
        </w:rPr>
        <w:t>3.2 设计标准及规范</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_Toc244176386 \h</w:instrText>
      </w:r>
      <w:r>
        <w:rPr>
          <w:rFonts w:hint="eastAsia"/>
          <w:color w:val="auto"/>
        </w:rPr>
        <w:instrText xml:space="preserve"> </w:instrText>
      </w:r>
      <w:r>
        <w:rPr>
          <w:rFonts w:hint="eastAsia"/>
          <w:color w:val="auto"/>
        </w:rPr>
        <w:fldChar w:fldCharType="separate"/>
      </w:r>
      <w:r>
        <w:rPr>
          <w:rFonts w:hint="eastAsia"/>
          <w:color w:val="auto"/>
        </w:rPr>
        <w:t>7</w:t>
      </w:r>
      <w:r>
        <w:rPr>
          <w:rFonts w:hint="eastAsia"/>
          <w:color w:val="auto"/>
        </w:rPr>
        <w:fldChar w:fldCharType="end"/>
      </w:r>
      <w:r>
        <w:rPr>
          <w:rFonts w:hint="eastAsia"/>
          <w:color w:val="auto"/>
        </w:rPr>
        <w:fldChar w:fldCharType="end"/>
      </w:r>
    </w:p>
    <w:p w14:paraId="45B17EB8">
      <w:pPr>
        <w:pStyle w:val="26"/>
        <w:tabs>
          <w:tab w:val="right" w:leader="dot" w:pos="9060"/>
        </w:tabs>
        <w:rPr>
          <w:rFonts w:hint="eastAsia" w:eastAsiaTheme="minorEastAsia"/>
          <w:smallCaps w:val="0"/>
          <w:color w:val="auto"/>
          <w:sz w:val="22"/>
          <w:szCs w:val="24"/>
          <w14:ligatures w14:val="standardContextual"/>
        </w:rPr>
      </w:pPr>
      <w:r>
        <w:rPr>
          <w:color w:val="auto"/>
        </w:rPr>
        <w:fldChar w:fldCharType="begin"/>
      </w:r>
      <w:r>
        <w:rPr>
          <w:color w:val="auto"/>
        </w:rPr>
        <w:instrText xml:space="preserve"> HYPERLINK \l "_Toc244176387" </w:instrText>
      </w:r>
      <w:r>
        <w:rPr>
          <w:color w:val="auto"/>
        </w:rPr>
        <w:fldChar w:fldCharType="separate"/>
      </w:r>
      <w:r>
        <w:rPr>
          <w:rStyle w:val="38"/>
          <w:rFonts w:ascii="宋体" w:hAnsi="宋体" w:eastAsia="宋体"/>
          <w:b/>
          <w:bCs/>
          <w:color w:val="auto"/>
        </w:rPr>
        <w:t>3.3 总体思路</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_Toc244176387 \h</w:instrText>
      </w:r>
      <w:r>
        <w:rPr>
          <w:rFonts w:hint="eastAsia"/>
          <w:color w:val="auto"/>
        </w:rPr>
        <w:instrText xml:space="preserve"> </w:instrText>
      </w:r>
      <w:r>
        <w:rPr>
          <w:rFonts w:hint="eastAsia"/>
          <w:color w:val="auto"/>
        </w:rPr>
        <w:fldChar w:fldCharType="separate"/>
      </w:r>
      <w:r>
        <w:rPr>
          <w:rFonts w:hint="eastAsia"/>
          <w:color w:val="auto"/>
        </w:rPr>
        <w:t>9</w:t>
      </w:r>
      <w:r>
        <w:rPr>
          <w:rFonts w:hint="eastAsia"/>
          <w:color w:val="auto"/>
        </w:rPr>
        <w:fldChar w:fldCharType="end"/>
      </w:r>
      <w:r>
        <w:rPr>
          <w:rFonts w:hint="eastAsia"/>
          <w:color w:val="auto"/>
        </w:rPr>
        <w:fldChar w:fldCharType="end"/>
      </w:r>
    </w:p>
    <w:p w14:paraId="455733E2">
      <w:pPr>
        <w:pStyle w:val="26"/>
        <w:tabs>
          <w:tab w:val="right" w:leader="dot" w:pos="9060"/>
        </w:tabs>
        <w:rPr>
          <w:rFonts w:hint="eastAsia" w:eastAsiaTheme="minorEastAsia"/>
          <w:smallCaps w:val="0"/>
          <w:color w:val="auto"/>
          <w:sz w:val="22"/>
          <w:szCs w:val="24"/>
          <w14:ligatures w14:val="standardContextual"/>
        </w:rPr>
      </w:pPr>
      <w:r>
        <w:rPr>
          <w:color w:val="auto"/>
        </w:rPr>
        <w:fldChar w:fldCharType="begin"/>
      </w:r>
      <w:r>
        <w:rPr>
          <w:color w:val="auto"/>
        </w:rPr>
        <w:instrText xml:space="preserve"> HYPERLINK \l "_Toc244176388" </w:instrText>
      </w:r>
      <w:r>
        <w:rPr>
          <w:color w:val="auto"/>
        </w:rPr>
        <w:fldChar w:fldCharType="separate"/>
      </w:r>
      <w:r>
        <w:rPr>
          <w:rStyle w:val="38"/>
          <w:rFonts w:ascii="宋体" w:hAnsi="宋体" w:eastAsia="宋体"/>
          <w:b/>
          <w:bCs/>
          <w:color w:val="auto"/>
        </w:rPr>
        <w:t>3.4 方案架构</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_Toc244176388 \h</w:instrText>
      </w:r>
      <w:r>
        <w:rPr>
          <w:rFonts w:hint="eastAsia"/>
          <w:color w:val="auto"/>
        </w:rPr>
        <w:instrText xml:space="preserve"> </w:instrText>
      </w:r>
      <w:r>
        <w:rPr>
          <w:rFonts w:hint="eastAsia"/>
          <w:color w:val="auto"/>
        </w:rPr>
        <w:fldChar w:fldCharType="separate"/>
      </w:r>
      <w:r>
        <w:rPr>
          <w:rFonts w:hint="eastAsia"/>
          <w:color w:val="auto"/>
        </w:rPr>
        <w:t>10</w:t>
      </w:r>
      <w:r>
        <w:rPr>
          <w:rFonts w:hint="eastAsia"/>
          <w:color w:val="auto"/>
        </w:rPr>
        <w:fldChar w:fldCharType="end"/>
      </w:r>
      <w:r>
        <w:rPr>
          <w:rFonts w:hint="eastAsia"/>
          <w:color w:val="auto"/>
        </w:rPr>
        <w:fldChar w:fldCharType="end"/>
      </w:r>
    </w:p>
    <w:p w14:paraId="3D6E332D">
      <w:pPr>
        <w:pStyle w:val="22"/>
        <w:tabs>
          <w:tab w:val="right" w:leader="dot" w:pos="9060"/>
        </w:tabs>
        <w:rPr>
          <w:rFonts w:hint="eastAsia" w:eastAsiaTheme="minorEastAsia"/>
          <w:b w:val="0"/>
          <w:bCs w:val="0"/>
          <w:caps w:val="0"/>
          <w:color w:val="auto"/>
          <w:sz w:val="22"/>
          <w:szCs w:val="24"/>
          <w14:ligatures w14:val="standardContextual"/>
        </w:rPr>
      </w:pPr>
      <w:r>
        <w:rPr>
          <w:color w:val="auto"/>
        </w:rPr>
        <w:fldChar w:fldCharType="begin"/>
      </w:r>
      <w:r>
        <w:rPr>
          <w:color w:val="auto"/>
        </w:rPr>
        <w:instrText xml:space="preserve"> HYPERLINK \l "_Toc244176389" </w:instrText>
      </w:r>
      <w:r>
        <w:rPr>
          <w:color w:val="auto"/>
        </w:rPr>
        <w:fldChar w:fldCharType="separate"/>
      </w:r>
      <w:r>
        <w:rPr>
          <w:rStyle w:val="38"/>
          <w:rFonts w:ascii="宋体" w:hAnsi="宋体" w:eastAsia="宋体"/>
          <w:color w:val="auto"/>
        </w:rPr>
        <w:t>四、智能用电运维管理系统技术要求</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_Toc244176389 \h</w:instrText>
      </w:r>
      <w:r>
        <w:rPr>
          <w:rFonts w:hint="eastAsia"/>
          <w:color w:val="auto"/>
        </w:rPr>
        <w:instrText xml:space="preserve"> </w:instrText>
      </w:r>
      <w:r>
        <w:rPr>
          <w:rFonts w:hint="eastAsia"/>
          <w:color w:val="auto"/>
        </w:rPr>
        <w:fldChar w:fldCharType="separate"/>
      </w:r>
      <w:r>
        <w:rPr>
          <w:rFonts w:hint="eastAsia"/>
          <w:color w:val="auto"/>
        </w:rPr>
        <w:t>11</w:t>
      </w:r>
      <w:r>
        <w:rPr>
          <w:rFonts w:hint="eastAsia"/>
          <w:color w:val="auto"/>
        </w:rPr>
        <w:fldChar w:fldCharType="end"/>
      </w:r>
      <w:r>
        <w:rPr>
          <w:rFonts w:hint="eastAsia"/>
          <w:color w:val="auto"/>
        </w:rPr>
        <w:fldChar w:fldCharType="end"/>
      </w:r>
    </w:p>
    <w:p w14:paraId="47AE2987">
      <w:pPr>
        <w:pStyle w:val="26"/>
        <w:tabs>
          <w:tab w:val="right" w:leader="dot" w:pos="9060"/>
        </w:tabs>
        <w:rPr>
          <w:rFonts w:hint="eastAsia" w:eastAsiaTheme="minorEastAsia"/>
          <w:smallCaps w:val="0"/>
          <w:color w:val="auto"/>
          <w:sz w:val="22"/>
          <w:szCs w:val="24"/>
          <w14:ligatures w14:val="standardContextual"/>
        </w:rPr>
      </w:pPr>
      <w:r>
        <w:rPr>
          <w:color w:val="auto"/>
        </w:rPr>
        <w:fldChar w:fldCharType="begin"/>
      </w:r>
      <w:r>
        <w:rPr>
          <w:color w:val="auto"/>
        </w:rPr>
        <w:instrText xml:space="preserve"> HYPERLINK \l "_Toc244176390" </w:instrText>
      </w:r>
      <w:r>
        <w:rPr>
          <w:color w:val="auto"/>
        </w:rPr>
        <w:fldChar w:fldCharType="separate"/>
      </w:r>
      <w:r>
        <w:rPr>
          <w:rStyle w:val="38"/>
          <w:rFonts w:ascii="宋体" w:hAnsi="宋体" w:eastAsia="宋体"/>
          <w:b/>
          <w:bCs/>
          <w:color w:val="auto"/>
        </w:rPr>
        <w:t>4.1 电力监控装置</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_Toc244176390 \h</w:instrText>
      </w:r>
      <w:r>
        <w:rPr>
          <w:rFonts w:hint="eastAsia"/>
          <w:color w:val="auto"/>
        </w:rPr>
        <w:instrText xml:space="preserve"> </w:instrText>
      </w:r>
      <w:r>
        <w:rPr>
          <w:rFonts w:hint="eastAsia"/>
          <w:color w:val="auto"/>
        </w:rPr>
        <w:fldChar w:fldCharType="separate"/>
      </w:r>
      <w:r>
        <w:rPr>
          <w:rFonts w:hint="eastAsia"/>
          <w:color w:val="auto"/>
        </w:rPr>
        <w:t>11</w:t>
      </w:r>
      <w:r>
        <w:rPr>
          <w:rFonts w:hint="eastAsia"/>
          <w:color w:val="auto"/>
        </w:rPr>
        <w:fldChar w:fldCharType="end"/>
      </w:r>
      <w:r>
        <w:rPr>
          <w:rFonts w:hint="eastAsia"/>
          <w:color w:val="auto"/>
        </w:rPr>
        <w:fldChar w:fldCharType="end"/>
      </w:r>
    </w:p>
    <w:p w14:paraId="7F7BF442">
      <w:pPr>
        <w:pStyle w:val="15"/>
        <w:tabs>
          <w:tab w:val="right" w:leader="dot" w:pos="9060"/>
        </w:tabs>
        <w:rPr>
          <w:rFonts w:hint="eastAsia" w:eastAsiaTheme="minorEastAsia"/>
          <w:i w:val="0"/>
          <w:iCs w:val="0"/>
          <w:color w:val="auto"/>
          <w:sz w:val="22"/>
          <w:szCs w:val="24"/>
          <w14:ligatures w14:val="standardContextual"/>
        </w:rPr>
      </w:pPr>
      <w:r>
        <w:rPr>
          <w:color w:val="auto"/>
        </w:rPr>
        <w:fldChar w:fldCharType="begin"/>
      </w:r>
      <w:r>
        <w:rPr>
          <w:color w:val="auto"/>
        </w:rPr>
        <w:instrText xml:space="preserve"> HYPERLINK \l "_Toc244176391" </w:instrText>
      </w:r>
      <w:r>
        <w:rPr>
          <w:color w:val="auto"/>
        </w:rPr>
        <w:fldChar w:fldCharType="separate"/>
      </w:r>
      <w:r>
        <w:rPr>
          <w:rStyle w:val="38"/>
          <w:rFonts w:ascii="宋体" w:hAnsi="宋体" w:eastAsia="宋体"/>
          <w:b/>
          <w:bCs/>
          <w:i w:val="0"/>
          <w:iCs w:val="0"/>
          <w:color w:val="auto"/>
        </w:rPr>
        <w:t>4.1.1 配电箱漏电保护装置</w:t>
      </w:r>
      <w:r>
        <w:rPr>
          <w:rFonts w:hint="eastAsia"/>
          <w:i w:val="0"/>
          <w:iCs w:val="0"/>
          <w:color w:val="auto"/>
        </w:rPr>
        <w:tab/>
      </w:r>
      <w:r>
        <w:rPr>
          <w:rFonts w:hint="eastAsia"/>
          <w:i w:val="0"/>
          <w:iCs w:val="0"/>
          <w:color w:val="auto"/>
        </w:rPr>
        <w:fldChar w:fldCharType="begin"/>
      </w:r>
      <w:r>
        <w:rPr>
          <w:rFonts w:hint="eastAsia"/>
          <w:i w:val="0"/>
          <w:iCs w:val="0"/>
          <w:color w:val="auto"/>
        </w:rPr>
        <w:instrText xml:space="preserve"> </w:instrText>
      </w:r>
      <w:r>
        <w:rPr>
          <w:i w:val="0"/>
          <w:iCs w:val="0"/>
          <w:color w:val="auto"/>
        </w:rPr>
        <w:instrText xml:space="preserve">PAGEREF _Toc244176391 \h</w:instrText>
      </w:r>
      <w:r>
        <w:rPr>
          <w:rFonts w:hint="eastAsia"/>
          <w:i w:val="0"/>
          <w:iCs w:val="0"/>
          <w:color w:val="auto"/>
        </w:rPr>
        <w:instrText xml:space="preserve"> </w:instrText>
      </w:r>
      <w:r>
        <w:rPr>
          <w:rFonts w:hint="eastAsia"/>
          <w:i w:val="0"/>
          <w:iCs w:val="0"/>
          <w:color w:val="auto"/>
        </w:rPr>
        <w:fldChar w:fldCharType="separate"/>
      </w:r>
      <w:r>
        <w:rPr>
          <w:rFonts w:hint="eastAsia"/>
          <w:i w:val="0"/>
          <w:iCs w:val="0"/>
          <w:color w:val="auto"/>
        </w:rPr>
        <w:t>11</w:t>
      </w:r>
      <w:r>
        <w:rPr>
          <w:rFonts w:hint="eastAsia"/>
          <w:i w:val="0"/>
          <w:iCs w:val="0"/>
          <w:color w:val="auto"/>
        </w:rPr>
        <w:fldChar w:fldCharType="end"/>
      </w:r>
      <w:r>
        <w:rPr>
          <w:rFonts w:hint="eastAsia"/>
          <w:i w:val="0"/>
          <w:iCs w:val="0"/>
          <w:color w:val="auto"/>
        </w:rPr>
        <w:fldChar w:fldCharType="end"/>
      </w:r>
    </w:p>
    <w:p w14:paraId="51568E79">
      <w:pPr>
        <w:pStyle w:val="15"/>
        <w:tabs>
          <w:tab w:val="right" w:leader="dot" w:pos="9060"/>
        </w:tabs>
        <w:rPr>
          <w:rFonts w:hint="eastAsia" w:eastAsiaTheme="minorEastAsia"/>
          <w:i w:val="0"/>
          <w:iCs w:val="0"/>
          <w:color w:val="auto"/>
          <w:sz w:val="22"/>
          <w:szCs w:val="24"/>
          <w14:ligatures w14:val="standardContextual"/>
        </w:rPr>
      </w:pPr>
      <w:r>
        <w:rPr>
          <w:color w:val="auto"/>
        </w:rPr>
        <w:fldChar w:fldCharType="begin"/>
      </w:r>
      <w:r>
        <w:rPr>
          <w:color w:val="auto"/>
        </w:rPr>
        <w:instrText xml:space="preserve"> HYPERLINK \l "_Toc244176392" </w:instrText>
      </w:r>
      <w:r>
        <w:rPr>
          <w:color w:val="auto"/>
        </w:rPr>
        <w:fldChar w:fldCharType="separate"/>
      </w:r>
      <w:r>
        <w:rPr>
          <w:rStyle w:val="38"/>
          <w:rFonts w:ascii="宋体" w:hAnsi="宋体" w:eastAsia="宋体"/>
          <w:b/>
          <w:bCs/>
          <w:i w:val="0"/>
          <w:iCs w:val="0"/>
          <w:color w:val="auto"/>
        </w:rPr>
        <w:t>4.1.2 低压抽屉柜智能监测仪表</w:t>
      </w:r>
      <w:r>
        <w:rPr>
          <w:rFonts w:hint="eastAsia"/>
          <w:i w:val="0"/>
          <w:iCs w:val="0"/>
          <w:color w:val="auto"/>
        </w:rPr>
        <w:tab/>
      </w:r>
      <w:r>
        <w:rPr>
          <w:rFonts w:hint="eastAsia"/>
          <w:i w:val="0"/>
          <w:iCs w:val="0"/>
          <w:color w:val="auto"/>
        </w:rPr>
        <w:fldChar w:fldCharType="begin"/>
      </w:r>
      <w:r>
        <w:rPr>
          <w:rFonts w:hint="eastAsia"/>
          <w:i w:val="0"/>
          <w:iCs w:val="0"/>
          <w:color w:val="auto"/>
        </w:rPr>
        <w:instrText xml:space="preserve"> </w:instrText>
      </w:r>
      <w:r>
        <w:rPr>
          <w:i w:val="0"/>
          <w:iCs w:val="0"/>
          <w:color w:val="auto"/>
        </w:rPr>
        <w:instrText xml:space="preserve">PAGEREF _Toc244176392 \h</w:instrText>
      </w:r>
      <w:r>
        <w:rPr>
          <w:rFonts w:hint="eastAsia"/>
          <w:i w:val="0"/>
          <w:iCs w:val="0"/>
          <w:color w:val="auto"/>
        </w:rPr>
        <w:instrText xml:space="preserve"> </w:instrText>
      </w:r>
      <w:r>
        <w:rPr>
          <w:rFonts w:hint="eastAsia"/>
          <w:i w:val="0"/>
          <w:iCs w:val="0"/>
          <w:color w:val="auto"/>
        </w:rPr>
        <w:fldChar w:fldCharType="separate"/>
      </w:r>
      <w:r>
        <w:rPr>
          <w:rFonts w:hint="eastAsia"/>
          <w:i w:val="0"/>
          <w:iCs w:val="0"/>
          <w:color w:val="auto"/>
        </w:rPr>
        <w:t>13</w:t>
      </w:r>
      <w:r>
        <w:rPr>
          <w:rFonts w:hint="eastAsia"/>
          <w:i w:val="0"/>
          <w:iCs w:val="0"/>
          <w:color w:val="auto"/>
        </w:rPr>
        <w:fldChar w:fldCharType="end"/>
      </w:r>
      <w:r>
        <w:rPr>
          <w:rFonts w:hint="eastAsia"/>
          <w:i w:val="0"/>
          <w:iCs w:val="0"/>
          <w:color w:val="auto"/>
        </w:rPr>
        <w:fldChar w:fldCharType="end"/>
      </w:r>
    </w:p>
    <w:p w14:paraId="00A49399">
      <w:pPr>
        <w:pStyle w:val="15"/>
        <w:tabs>
          <w:tab w:val="right" w:leader="dot" w:pos="9060"/>
        </w:tabs>
        <w:rPr>
          <w:rFonts w:hint="eastAsia" w:eastAsiaTheme="minorEastAsia"/>
          <w:i w:val="0"/>
          <w:iCs w:val="0"/>
          <w:color w:val="auto"/>
          <w:sz w:val="22"/>
          <w:szCs w:val="24"/>
          <w14:ligatures w14:val="standardContextual"/>
        </w:rPr>
      </w:pPr>
      <w:r>
        <w:rPr>
          <w:color w:val="auto"/>
        </w:rPr>
        <w:fldChar w:fldCharType="begin"/>
      </w:r>
      <w:r>
        <w:rPr>
          <w:color w:val="auto"/>
        </w:rPr>
        <w:instrText xml:space="preserve"> HYPERLINK \l "_Toc244176393" </w:instrText>
      </w:r>
      <w:r>
        <w:rPr>
          <w:color w:val="auto"/>
        </w:rPr>
        <w:fldChar w:fldCharType="separate"/>
      </w:r>
      <w:r>
        <w:rPr>
          <w:rStyle w:val="38"/>
          <w:rFonts w:ascii="宋体" w:hAnsi="宋体" w:eastAsia="宋体"/>
          <w:b/>
          <w:bCs/>
          <w:i w:val="0"/>
          <w:iCs w:val="0"/>
          <w:color w:val="auto"/>
        </w:rPr>
        <w:t>4.1.3 高压开关柜智能监测装置</w:t>
      </w:r>
      <w:r>
        <w:rPr>
          <w:rFonts w:hint="eastAsia"/>
          <w:i w:val="0"/>
          <w:iCs w:val="0"/>
          <w:color w:val="auto"/>
        </w:rPr>
        <w:tab/>
      </w:r>
      <w:r>
        <w:rPr>
          <w:rFonts w:hint="eastAsia"/>
          <w:i w:val="0"/>
          <w:iCs w:val="0"/>
          <w:color w:val="auto"/>
        </w:rPr>
        <w:fldChar w:fldCharType="begin"/>
      </w:r>
      <w:r>
        <w:rPr>
          <w:rFonts w:hint="eastAsia"/>
          <w:i w:val="0"/>
          <w:iCs w:val="0"/>
          <w:color w:val="auto"/>
        </w:rPr>
        <w:instrText xml:space="preserve"> </w:instrText>
      </w:r>
      <w:r>
        <w:rPr>
          <w:i w:val="0"/>
          <w:iCs w:val="0"/>
          <w:color w:val="auto"/>
        </w:rPr>
        <w:instrText xml:space="preserve">PAGEREF _Toc244176393 \h</w:instrText>
      </w:r>
      <w:r>
        <w:rPr>
          <w:rFonts w:hint="eastAsia"/>
          <w:i w:val="0"/>
          <w:iCs w:val="0"/>
          <w:color w:val="auto"/>
        </w:rPr>
        <w:instrText xml:space="preserve"> </w:instrText>
      </w:r>
      <w:r>
        <w:rPr>
          <w:rFonts w:hint="eastAsia"/>
          <w:i w:val="0"/>
          <w:iCs w:val="0"/>
          <w:color w:val="auto"/>
        </w:rPr>
        <w:fldChar w:fldCharType="separate"/>
      </w:r>
      <w:r>
        <w:rPr>
          <w:rFonts w:hint="eastAsia"/>
          <w:i w:val="0"/>
          <w:iCs w:val="0"/>
          <w:color w:val="auto"/>
        </w:rPr>
        <w:t>15</w:t>
      </w:r>
      <w:r>
        <w:rPr>
          <w:rFonts w:hint="eastAsia"/>
          <w:i w:val="0"/>
          <w:iCs w:val="0"/>
          <w:color w:val="auto"/>
        </w:rPr>
        <w:fldChar w:fldCharType="end"/>
      </w:r>
      <w:r>
        <w:rPr>
          <w:rFonts w:hint="eastAsia"/>
          <w:i w:val="0"/>
          <w:iCs w:val="0"/>
          <w:color w:val="auto"/>
        </w:rPr>
        <w:fldChar w:fldCharType="end"/>
      </w:r>
    </w:p>
    <w:p w14:paraId="44BF0DAD">
      <w:pPr>
        <w:pStyle w:val="15"/>
        <w:tabs>
          <w:tab w:val="right" w:leader="dot" w:pos="9060"/>
        </w:tabs>
        <w:rPr>
          <w:rFonts w:hint="eastAsia" w:eastAsiaTheme="minorEastAsia"/>
          <w:i w:val="0"/>
          <w:iCs w:val="0"/>
          <w:color w:val="auto"/>
          <w:sz w:val="22"/>
          <w:szCs w:val="24"/>
          <w14:ligatures w14:val="standardContextual"/>
        </w:rPr>
      </w:pPr>
      <w:r>
        <w:rPr>
          <w:color w:val="auto"/>
        </w:rPr>
        <w:fldChar w:fldCharType="begin"/>
      </w:r>
      <w:r>
        <w:rPr>
          <w:color w:val="auto"/>
        </w:rPr>
        <w:instrText xml:space="preserve"> HYPERLINK \l "_Toc244176394" </w:instrText>
      </w:r>
      <w:r>
        <w:rPr>
          <w:color w:val="auto"/>
        </w:rPr>
        <w:fldChar w:fldCharType="separate"/>
      </w:r>
      <w:r>
        <w:rPr>
          <w:rStyle w:val="38"/>
          <w:rFonts w:ascii="宋体" w:hAnsi="宋体" w:eastAsia="宋体"/>
          <w:b/>
          <w:bCs/>
          <w:i w:val="0"/>
          <w:iCs w:val="0"/>
          <w:color w:val="auto"/>
        </w:rPr>
        <w:t>4.1.4 电力设备智能温度监测</w:t>
      </w:r>
      <w:r>
        <w:rPr>
          <w:rFonts w:hint="eastAsia"/>
          <w:i w:val="0"/>
          <w:iCs w:val="0"/>
          <w:color w:val="auto"/>
        </w:rPr>
        <w:tab/>
      </w:r>
      <w:r>
        <w:rPr>
          <w:rFonts w:hint="eastAsia"/>
          <w:i w:val="0"/>
          <w:iCs w:val="0"/>
          <w:color w:val="auto"/>
        </w:rPr>
        <w:fldChar w:fldCharType="begin"/>
      </w:r>
      <w:r>
        <w:rPr>
          <w:rFonts w:hint="eastAsia"/>
          <w:i w:val="0"/>
          <w:iCs w:val="0"/>
          <w:color w:val="auto"/>
        </w:rPr>
        <w:instrText xml:space="preserve"> </w:instrText>
      </w:r>
      <w:r>
        <w:rPr>
          <w:i w:val="0"/>
          <w:iCs w:val="0"/>
          <w:color w:val="auto"/>
        </w:rPr>
        <w:instrText xml:space="preserve">PAGEREF _Toc244176394 \h</w:instrText>
      </w:r>
      <w:r>
        <w:rPr>
          <w:rFonts w:hint="eastAsia"/>
          <w:i w:val="0"/>
          <w:iCs w:val="0"/>
          <w:color w:val="auto"/>
        </w:rPr>
        <w:instrText xml:space="preserve"> </w:instrText>
      </w:r>
      <w:r>
        <w:rPr>
          <w:rFonts w:hint="eastAsia"/>
          <w:i w:val="0"/>
          <w:iCs w:val="0"/>
          <w:color w:val="auto"/>
        </w:rPr>
        <w:fldChar w:fldCharType="separate"/>
      </w:r>
      <w:r>
        <w:rPr>
          <w:rFonts w:hint="eastAsia"/>
          <w:i w:val="0"/>
          <w:iCs w:val="0"/>
          <w:color w:val="auto"/>
        </w:rPr>
        <w:t>16</w:t>
      </w:r>
      <w:r>
        <w:rPr>
          <w:rFonts w:hint="eastAsia"/>
          <w:i w:val="0"/>
          <w:iCs w:val="0"/>
          <w:color w:val="auto"/>
        </w:rPr>
        <w:fldChar w:fldCharType="end"/>
      </w:r>
      <w:r>
        <w:rPr>
          <w:rFonts w:hint="eastAsia"/>
          <w:i w:val="0"/>
          <w:iCs w:val="0"/>
          <w:color w:val="auto"/>
        </w:rPr>
        <w:fldChar w:fldCharType="end"/>
      </w:r>
    </w:p>
    <w:p w14:paraId="707C8F6C">
      <w:pPr>
        <w:pStyle w:val="15"/>
        <w:tabs>
          <w:tab w:val="right" w:leader="dot" w:pos="9060"/>
        </w:tabs>
        <w:rPr>
          <w:rFonts w:hint="eastAsia" w:eastAsiaTheme="minorEastAsia"/>
          <w:i w:val="0"/>
          <w:iCs w:val="0"/>
          <w:color w:val="auto"/>
          <w:sz w:val="22"/>
          <w:szCs w:val="24"/>
          <w14:ligatures w14:val="standardContextual"/>
        </w:rPr>
      </w:pPr>
      <w:r>
        <w:rPr>
          <w:color w:val="auto"/>
        </w:rPr>
        <w:fldChar w:fldCharType="begin"/>
      </w:r>
      <w:r>
        <w:rPr>
          <w:color w:val="auto"/>
        </w:rPr>
        <w:instrText xml:space="preserve"> HYPERLINK \l "_Toc244176395" </w:instrText>
      </w:r>
      <w:r>
        <w:rPr>
          <w:color w:val="auto"/>
        </w:rPr>
        <w:fldChar w:fldCharType="separate"/>
      </w:r>
      <w:r>
        <w:rPr>
          <w:rStyle w:val="38"/>
          <w:rFonts w:ascii="宋体" w:hAnsi="宋体" w:eastAsia="宋体"/>
          <w:b/>
          <w:bCs/>
          <w:i w:val="0"/>
          <w:iCs w:val="0"/>
          <w:color w:val="auto"/>
        </w:rPr>
        <w:t>4.1.5 火灾自动报警系统</w:t>
      </w:r>
      <w:r>
        <w:rPr>
          <w:rFonts w:hint="eastAsia"/>
          <w:i w:val="0"/>
          <w:iCs w:val="0"/>
          <w:color w:val="auto"/>
        </w:rPr>
        <w:tab/>
      </w:r>
      <w:r>
        <w:rPr>
          <w:rFonts w:hint="eastAsia"/>
          <w:i w:val="0"/>
          <w:iCs w:val="0"/>
          <w:color w:val="auto"/>
        </w:rPr>
        <w:fldChar w:fldCharType="begin"/>
      </w:r>
      <w:r>
        <w:rPr>
          <w:rFonts w:hint="eastAsia"/>
          <w:i w:val="0"/>
          <w:iCs w:val="0"/>
          <w:color w:val="auto"/>
        </w:rPr>
        <w:instrText xml:space="preserve"> </w:instrText>
      </w:r>
      <w:r>
        <w:rPr>
          <w:i w:val="0"/>
          <w:iCs w:val="0"/>
          <w:color w:val="auto"/>
        </w:rPr>
        <w:instrText xml:space="preserve">PAGEREF _Toc244176395 \h</w:instrText>
      </w:r>
      <w:r>
        <w:rPr>
          <w:rFonts w:hint="eastAsia"/>
          <w:i w:val="0"/>
          <w:iCs w:val="0"/>
          <w:color w:val="auto"/>
        </w:rPr>
        <w:instrText xml:space="preserve"> </w:instrText>
      </w:r>
      <w:r>
        <w:rPr>
          <w:rFonts w:hint="eastAsia"/>
          <w:i w:val="0"/>
          <w:iCs w:val="0"/>
          <w:color w:val="auto"/>
        </w:rPr>
        <w:fldChar w:fldCharType="separate"/>
      </w:r>
      <w:r>
        <w:rPr>
          <w:rFonts w:hint="eastAsia"/>
          <w:i w:val="0"/>
          <w:iCs w:val="0"/>
          <w:color w:val="auto"/>
        </w:rPr>
        <w:t>18</w:t>
      </w:r>
      <w:r>
        <w:rPr>
          <w:rFonts w:hint="eastAsia"/>
          <w:i w:val="0"/>
          <w:iCs w:val="0"/>
          <w:color w:val="auto"/>
        </w:rPr>
        <w:fldChar w:fldCharType="end"/>
      </w:r>
      <w:r>
        <w:rPr>
          <w:rFonts w:hint="eastAsia"/>
          <w:i w:val="0"/>
          <w:iCs w:val="0"/>
          <w:color w:val="auto"/>
        </w:rPr>
        <w:fldChar w:fldCharType="end"/>
      </w:r>
    </w:p>
    <w:p w14:paraId="759704E9">
      <w:pPr>
        <w:pStyle w:val="15"/>
        <w:tabs>
          <w:tab w:val="right" w:leader="dot" w:pos="9060"/>
        </w:tabs>
        <w:rPr>
          <w:rFonts w:hint="eastAsia" w:eastAsiaTheme="minorEastAsia"/>
          <w:i w:val="0"/>
          <w:iCs w:val="0"/>
          <w:color w:val="auto"/>
          <w:sz w:val="22"/>
          <w:szCs w:val="24"/>
          <w14:ligatures w14:val="standardContextual"/>
        </w:rPr>
      </w:pPr>
      <w:r>
        <w:rPr>
          <w:color w:val="auto"/>
        </w:rPr>
        <w:fldChar w:fldCharType="begin"/>
      </w:r>
      <w:r>
        <w:rPr>
          <w:color w:val="auto"/>
        </w:rPr>
        <w:instrText xml:space="preserve"> HYPERLINK \l "_Toc244176396" </w:instrText>
      </w:r>
      <w:r>
        <w:rPr>
          <w:color w:val="auto"/>
        </w:rPr>
        <w:fldChar w:fldCharType="separate"/>
      </w:r>
      <w:r>
        <w:rPr>
          <w:rStyle w:val="38"/>
          <w:rFonts w:ascii="宋体" w:hAnsi="宋体" w:eastAsia="宋体"/>
          <w:b/>
          <w:bCs/>
          <w:i w:val="0"/>
          <w:iCs w:val="0"/>
          <w:color w:val="auto"/>
        </w:rPr>
        <w:t>4.1.6 水浸装置</w:t>
      </w:r>
      <w:r>
        <w:rPr>
          <w:rFonts w:hint="eastAsia"/>
          <w:i w:val="0"/>
          <w:iCs w:val="0"/>
          <w:color w:val="auto"/>
        </w:rPr>
        <w:tab/>
      </w:r>
      <w:r>
        <w:rPr>
          <w:rFonts w:hint="eastAsia"/>
          <w:i w:val="0"/>
          <w:iCs w:val="0"/>
          <w:color w:val="auto"/>
        </w:rPr>
        <w:fldChar w:fldCharType="begin"/>
      </w:r>
      <w:r>
        <w:rPr>
          <w:rFonts w:hint="eastAsia"/>
          <w:i w:val="0"/>
          <w:iCs w:val="0"/>
          <w:color w:val="auto"/>
        </w:rPr>
        <w:instrText xml:space="preserve"> </w:instrText>
      </w:r>
      <w:r>
        <w:rPr>
          <w:i w:val="0"/>
          <w:iCs w:val="0"/>
          <w:color w:val="auto"/>
        </w:rPr>
        <w:instrText xml:space="preserve">PAGEREF _Toc244176396 \h</w:instrText>
      </w:r>
      <w:r>
        <w:rPr>
          <w:rFonts w:hint="eastAsia"/>
          <w:i w:val="0"/>
          <w:iCs w:val="0"/>
          <w:color w:val="auto"/>
        </w:rPr>
        <w:instrText xml:space="preserve"> </w:instrText>
      </w:r>
      <w:r>
        <w:rPr>
          <w:rFonts w:hint="eastAsia"/>
          <w:i w:val="0"/>
          <w:iCs w:val="0"/>
          <w:color w:val="auto"/>
        </w:rPr>
        <w:fldChar w:fldCharType="separate"/>
      </w:r>
      <w:r>
        <w:rPr>
          <w:rFonts w:hint="eastAsia"/>
          <w:i w:val="0"/>
          <w:iCs w:val="0"/>
          <w:color w:val="auto"/>
        </w:rPr>
        <w:t>18</w:t>
      </w:r>
      <w:r>
        <w:rPr>
          <w:rFonts w:hint="eastAsia"/>
          <w:i w:val="0"/>
          <w:iCs w:val="0"/>
          <w:color w:val="auto"/>
        </w:rPr>
        <w:fldChar w:fldCharType="end"/>
      </w:r>
      <w:r>
        <w:rPr>
          <w:rFonts w:hint="eastAsia"/>
          <w:i w:val="0"/>
          <w:iCs w:val="0"/>
          <w:color w:val="auto"/>
        </w:rPr>
        <w:fldChar w:fldCharType="end"/>
      </w:r>
    </w:p>
    <w:p w14:paraId="3DA46764">
      <w:pPr>
        <w:pStyle w:val="15"/>
        <w:tabs>
          <w:tab w:val="right" w:leader="dot" w:pos="9060"/>
        </w:tabs>
        <w:rPr>
          <w:rFonts w:hint="eastAsia" w:eastAsiaTheme="minorEastAsia"/>
          <w:i w:val="0"/>
          <w:iCs w:val="0"/>
          <w:color w:val="auto"/>
          <w:sz w:val="22"/>
          <w:szCs w:val="24"/>
          <w14:ligatures w14:val="standardContextual"/>
        </w:rPr>
      </w:pPr>
      <w:r>
        <w:rPr>
          <w:color w:val="auto"/>
        </w:rPr>
        <w:fldChar w:fldCharType="begin"/>
      </w:r>
      <w:r>
        <w:rPr>
          <w:color w:val="auto"/>
        </w:rPr>
        <w:instrText xml:space="preserve"> HYPERLINK \l "_Toc244176397" </w:instrText>
      </w:r>
      <w:r>
        <w:rPr>
          <w:color w:val="auto"/>
        </w:rPr>
        <w:fldChar w:fldCharType="separate"/>
      </w:r>
      <w:r>
        <w:rPr>
          <w:rStyle w:val="38"/>
          <w:rFonts w:ascii="宋体" w:hAnsi="宋体" w:eastAsia="宋体"/>
          <w:b/>
          <w:bCs/>
          <w:i w:val="0"/>
          <w:iCs w:val="0"/>
          <w:color w:val="auto"/>
        </w:rPr>
        <w:t>4.1.7 门禁装置</w:t>
      </w:r>
      <w:r>
        <w:rPr>
          <w:rFonts w:hint="eastAsia"/>
          <w:i w:val="0"/>
          <w:iCs w:val="0"/>
          <w:color w:val="auto"/>
        </w:rPr>
        <w:tab/>
      </w:r>
      <w:r>
        <w:rPr>
          <w:rFonts w:hint="eastAsia"/>
          <w:i w:val="0"/>
          <w:iCs w:val="0"/>
          <w:color w:val="auto"/>
        </w:rPr>
        <w:fldChar w:fldCharType="begin"/>
      </w:r>
      <w:r>
        <w:rPr>
          <w:rFonts w:hint="eastAsia"/>
          <w:i w:val="0"/>
          <w:iCs w:val="0"/>
          <w:color w:val="auto"/>
        </w:rPr>
        <w:instrText xml:space="preserve"> </w:instrText>
      </w:r>
      <w:r>
        <w:rPr>
          <w:i w:val="0"/>
          <w:iCs w:val="0"/>
          <w:color w:val="auto"/>
        </w:rPr>
        <w:instrText xml:space="preserve">PAGEREF _Toc244176397 \h</w:instrText>
      </w:r>
      <w:r>
        <w:rPr>
          <w:rFonts w:hint="eastAsia"/>
          <w:i w:val="0"/>
          <w:iCs w:val="0"/>
          <w:color w:val="auto"/>
        </w:rPr>
        <w:instrText xml:space="preserve"> </w:instrText>
      </w:r>
      <w:r>
        <w:rPr>
          <w:rFonts w:hint="eastAsia"/>
          <w:i w:val="0"/>
          <w:iCs w:val="0"/>
          <w:color w:val="auto"/>
        </w:rPr>
        <w:fldChar w:fldCharType="separate"/>
      </w:r>
      <w:r>
        <w:rPr>
          <w:rFonts w:hint="eastAsia"/>
          <w:i w:val="0"/>
          <w:iCs w:val="0"/>
          <w:color w:val="auto"/>
        </w:rPr>
        <w:t>19</w:t>
      </w:r>
      <w:r>
        <w:rPr>
          <w:rFonts w:hint="eastAsia"/>
          <w:i w:val="0"/>
          <w:iCs w:val="0"/>
          <w:color w:val="auto"/>
        </w:rPr>
        <w:fldChar w:fldCharType="end"/>
      </w:r>
      <w:r>
        <w:rPr>
          <w:rFonts w:hint="eastAsia"/>
          <w:i w:val="0"/>
          <w:iCs w:val="0"/>
          <w:color w:val="auto"/>
        </w:rPr>
        <w:fldChar w:fldCharType="end"/>
      </w:r>
    </w:p>
    <w:p w14:paraId="671F2DD5">
      <w:pPr>
        <w:pStyle w:val="15"/>
        <w:tabs>
          <w:tab w:val="right" w:leader="dot" w:pos="9060"/>
        </w:tabs>
        <w:rPr>
          <w:rFonts w:hint="eastAsia" w:eastAsiaTheme="minorEastAsia"/>
          <w:i w:val="0"/>
          <w:iCs w:val="0"/>
          <w:color w:val="auto"/>
          <w:sz w:val="22"/>
          <w:szCs w:val="24"/>
          <w14:ligatures w14:val="standardContextual"/>
        </w:rPr>
      </w:pPr>
      <w:r>
        <w:rPr>
          <w:color w:val="auto"/>
        </w:rPr>
        <w:fldChar w:fldCharType="begin"/>
      </w:r>
      <w:r>
        <w:rPr>
          <w:color w:val="auto"/>
        </w:rPr>
        <w:instrText xml:space="preserve"> HYPERLINK \l "_Toc244176398" </w:instrText>
      </w:r>
      <w:r>
        <w:rPr>
          <w:color w:val="auto"/>
        </w:rPr>
        <w:fldChar w:fldCharType="separate"/>
      </w:r>
      <w:r>
        <w:rPr>
          <w:rStyle w:val="38"/>
          <w:rFonts w:ascii="宋体" w:hAnsi="宋体" w:eastAsia="宋体"/>
          <w:b/>
          <w:bCs/>
          <w:i w:val="0"/>
          <w:iCs w:val="0"/>
          <w:color w:val="auto"/>
        </w:rPr>
        <w:t>4.1.8 视频系统</w:t>
      </w:r>
      <w:r>
        <w:rPr>
          <w:rFonts w:hint="eastAsia"/>
          <w:i w:val="0"/>
          <w:iCs w:val="0"/>
          <w:color w:val="auto"/>
        </w:rPr>
        <w:tab/>
      </w:r>
      <w:r>
        <w:rPr>
          <w:rFonts w:hint="eastAsia"/>
          <w:i w:val="0"/>
          <w:iCs w:val="0"/>
          <w:color w:val="auto"/>
        </w:rPr>
        <w:fldChar w:fldCharType="begin"/>
      </w:r>
      <w:r>
        <w:rPr>
          <w:rFonts w:hint="eastAsia"/>
          <w:i w:val="0"/>
          <w:iCs w:val="0"/>
          <w:color w:val="auto"/>
        </w:rPr>
        <w:instrText xml:space="preserve"> </w:instrText>
      </w:r>
      <w:r>
        <w:rPr>
          <w:i w:val="0"/>
          <w:iCs w:val="0"/>
          <w:color w:val="auto"/>
        </w:rPr>
        <w:instrText xml:space="preserve">PAGEREF _Toc244176398 \h</w:instrText>
      </w:r>
      <w:r>
        <w:rPr>
          <w:rFonts w:hint="eastAsia"/>
          <w:i w:val="0"/>
          <w:iCs w:val="0"/>
          <w:color w:val="auto"/>
        </w:rPr>
        <w:instrText xml:space="preserve"> </w:instrText>
      </w:r>
      <w:r>
        <w:rPr>
          <w:rFonts w:hint="eastAsia"/>
          <w:i w:val="0"/>
          <w:iCs w:val="0"/>
          <w:color w:val="auto"/>
        </w:rPr>
        <w:fldChar w:fldCharType="separate"/>
      </w:r>
      <w:r>
        <w:rPr>
          <w:rFonts w:hint="eastAsia"/>
          <w:i w:val="0"/>
          <w:iCs w:val="0"/>
          <w:color w:val="auto"/>
        </w:rPr>
        <w:t>19</w:t>
      </w:r>
      <w:r>
        <w:rPr>
          <w:rFonts w:hint="eastAsia"/>
          <w:i w:val="0"/>
          <w:iCs w:val="0"/>
          <w:color w:val="auto"/>
        </w:rPr>
        <w:fldChar w:fldCharType="end"/>
      </w:r>
      <w:r>
        <w:rPr>
          <w:rFonts w:hint="eastAsia"/>
          <w:i w:val="0"/>
          <w:iCs w:val="0"/>
          <w:color w:val="auto"/>
        </w:rPr>
        <w:fldChar w:fldCharType="end"/>
      </w:r>
    </w:p>
    <w:p w14:paraId="322E41A9">
      <w:pPr>
        <w:pStyle w:val="26"/>
        <w:tabs>
          <w:tab w:val="right" w:leader="dot" w:pos="9060"/>
        </w:tabs>
        <w:rPr>
          <w:rFonts w:hint="eastAsia" w:eastAsiaTheme="minorEastAsia"/>
          <w:smallCaps w:val="0"/>
          <w:color w:val="auto"/>
          <w:sz w:val="22"/>
          <w:szCs w:val="24"/>
          <w14:ligatures w14:val="standardContextual"/>
        </w:rPr>
      </w:pPr>
      <w:r>
        <w:rPr>
          <w:color w:val="auto"/>
        </w:rPr>
        <w:fldChar w:fldCharType="begin"/>
      </w:r>
      <w:r>
        <w:rPr>
          <w:color w:val="auto"/>
        </w:rPr>
        <w:instrText xml:space="preserve"> HYPERLINK \l "_Toc244176399" </w:instrText>
      </w:r>
      <w:r>
        <w:rPr>
          <w:color w:val="auto"/>
        </w:rPr>
        <w:fldChar w:fldCharType="separate"/>
      </w:r>
      <w:r>
        <w:rPr>
          <w:rStyle w:val="38"/>
          <w:rFonts w:ascii="宋体" w:hAnsi="宋体" w:eastAsia="宋体"/>
          <w:b/>
          <w:bCs/>
          <w:color w:val="auto"/>
        </w:rPr>
        <w:t>4.2 智慧电力运维系统</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_Toc244176399 \h</w:instrText>
      </w:r>
      <w:r>
        <w:rPr>
          <w:rFonts w:hint="eastAsia"/>
          <w:color w:val="auto"/>
        </w:rPr>
        <w:instrText xml:space="preserve"> </w:instrText>
      </w:r>
      <w:r>
        <w:rPr>
          <w:rFonts w:hint="eastAsia"/>
          <w:color w:val="auto"/>
        </w:rPr>
        <w:fldChar w:fldCharType="separate"/>
      </w:r>
      <w:r>
        <w:rPr>
          <w:rFonts w:hint="eastAsia"/>
          <w:color w:val="auto"/>
        </w:rPr>
        <w:t>19</w:t>
      </w:r>
      <w:r>
        <w:rPr>
          <w:rFonts w:hint="eastAsia"/>
          <w:color w:val="auto"/>
        </w:rPr>
        <w:fldChar w:fldCharType="end"/>
      </w:r>
      <w:r>
        <w:rPr>
          <w:rFonts w:hint="eastAsia"/>
          <w:color w:val="auto"/>
        </w:rPr>
        <w:fldChar w:fldCharType="end"/>
      </w:r>
    </w:p>
    <w:p w14:paraId="3399BED8">
      <w:pPr>
        <w:pStyle w:val="15"/>
        <w:tabs>
          <w:tab w:val="right" w:leader="dot" w:pos="9060"/>
        </w:tabs>
        <w:rPr>
          <w:rFonts w:hint="eastAsia" w:eastAsiaTheme="minorEastAsia"/>
          <w:i w:val="0"/>
          <w:iCs w:val="0"/>
          <w:color w:val="auto"/>
          <w:sz w:val="22"/>
          <w:szCs w:val="24"/>
          <w14:ligatures w14:val="standardContextual"/>
        </w:rPr>
      </w:pPr>
      <w:r>
        <w:rPr>
          <w:color w:val="auto"/>
        </w:rPr>
        <w:fldChar w:fldCharType="begin"/>
      </w:r>
      <w:r>
        <w:rPr>
          <w:color w:val="auto"/>
        </w:rPr>
        <w:instrText xml:space="preserve"> HYPERLINK \l "_Toc244176400" </w:instrText>
      </w:r>
      <w:r>
        <w:rPr>
          <w:color w:val="auto"/>
        </w:rPr>
        <w:fldChar w:fldCharType="separate"/>
      </w:r>
      <w:r>
        <w:rPr>
          <w:rStyle w:val="38"/>
          <w:rFonts w:ascii="宋体" w:hAnsi="宋体" w:eastAsia="宋体"/>
          <w:b/>
          <w:bCs/>
          <w:i w:val="0"/>
          <w:iCs w:val="0"/>
          <w:color w:val="auto"/>
        </w:rPr>
        <w:t>4.2.1大屏全景展示</w:t>
      </w:r>
      <w:r>
        <w:rPr>
          <w:rFonts w:hint="eastAsia"/>
          <w:i w:val="0"/>
          <w:iCs w:val="0"/>
          <w:color w:val="auto"/>
        </w:rPr>
        <w:tab/>
      </w:r>
      <w:r>
        <w:rPr>
          <w:rFonts w:hint="eastAsia"/>
          <w:i w:val="0"/>
          <w:iCs w:val="0"/>
          <w:color w:val="auto"/>
        </w:rPr>
        <w:fldChar w:fldCharType="begin"/>
      </w:r>
      <w:r>
        <w:rPr>
          <w:rFonts w:hint="eastAsia"/>
          <w:i w:val="0"/>
          <w:iCs w:val="0"/>
          <w:color w:val="auto"/>
        </w:rPr>
        <w:instrText xml:space="preserve"> </w:instrText>
      </w:r>
      <w:r>
        <w:rPr>
          <w:i w:val="0"/>
          <w:iCs w:val="0"/>
          <w:color w:val="auto"/>
        </w:rPr>
        <w:instrText xml:space="preserve">PAGEREF _Toc244176400 \h</w:instrText>
      </w:r>
      <w:r>
        <w:rPr>
          <w:rFonts w:hint="eastAsia"/>
          <w:i w:val="0"/>
          <w:iCs w:val="0"/>
          <w:color w:val="auto"/>
        </w:rPr>
        <w:instrText xml:space="preserve"> </w:instrText>
      </w:r>
      <w:r>
        <w:rPr>
          <w:rFonts w:hint="eastAsia"/>
          <w:i w:val="0"/>
          <w:iCs w:val="0"/>
          <w:color w:val="auto"/>
        </w:rPr>
        <w:fldChar w:fldCharType="separate"/>
      </w:r>
      <w:r>
        <w:rPr>
          <w:rFonts w:hint="eastAsia"/>
          <w:i w:val="0"/>
          <w:iCs w:val="0"/>
          <w:color w:val="auto"/>
        </w:rPr>
        <w:t>19</w:t>
      </w:r>
      <w:r>
        <w:rPr>
          <w:rFonts w:hint="eastAsia"/>
          <w:i w:val="0"/>
          <w:iCs w:val="0"/>
          <w:color w:val="auto"/>
        </w:rPr>
        <w:fldChar w:fldCharType="end"/>
      </w:r>
      <w:r>
        <w:rPr>
          <w:rFonts w:hint="eastAsia"/>
          <w:i w:val="0"/>
          <w:iCs w:val="0"/>
          <w:color w:val="auto"/>
        </w:rPr>
        <w:fldChar w:fldCharType="end"/>
      </w:r>
    </w:p>
    <w:p w14:paraId="2C3B4521">
      <w:pPr>
        <w:pStyle w:val="15"/>
        <w:tabs>
          <w:tab w:val="right" w:leader="dot" w:pos="9060"/>
        </w:tabs>
        <w:rPr>
          <w:rFonts w:hint="eastAsia" w:eastAsiaTheme="minorEastAsia"/>
          <w:i w:val="0"/>
          <w:iCs w:val="0"/>
          <w:color w:val="auto"/>
          <w:sz w:val="22"/>
          <w:szCs w:val="24"/>
          <w14:ligatures w14:val="standardContextual"/>
        </w:rPr>
      </w:pPr>
      <w:r>
        <w:rPr>
          <w:color w:val="auto"/>
        </w:rPr>
        <w:fldChar w:fldCharType="begin"/>
      </w:r>
      <w:r>
        <w:rPr>
          <w:color w:val="auto"/>
        </w:rPr>
        <w:instrText xml:space="preserve"> HYPERLINK \l "_Toc244176401" </w:instrText>
      </w:r>
      <w:r>
        <w:rPr>
          <w:color w:val="auto"/>
        </w:rPr>
        <w:fldChar w:fldCharType="separate"/>
      </w:r>
      <w:r>
        <w:rPr>
          <w:rStyle w:val="38"/>
          <w:rFonts w:ascii="宋体" w:hAnsi="宋体" w:eastAsia="宋体"/>
          <w:b/>
          <w:bCs/>
          <w:i w:val="0"/>
          <w:iCs w:val="0"/>
          <w:color w:val="auto"/>
        </w:rPr>
        <w:t>4.2.2 3D实景扫描</w:t>
      </w:r>
      <w:r>
        <w:rPr>
          <w:rFonts w:hint="eastAsia"/>
          <w:i w:val="0"/>
          <w:iCs w:val="0"/>
          <w:color w:val="auto"/>
        </w:rPr>
        <w:tab/>
      </w:r>
      <w:r>
        <w:rPr>
          <w:rFonts w:hint="eastAsia"/>
          <w:i w:val="0"/>
          <w:iCs w:val="0"/>
          <w:color w:val="auto"/>
        </w:rPr>
        <w:fldChar w:fldCharType="begin"/>
      </w:r>
      <w:r>
        <w:rPr>
          <w:rFonts w:hint="eastAsia"/>
          <w:i w:val="0"/>
          <w:iCs w:val="0"/>
          <w:color w:val="auto"/>
        </w:rPr>
        <w:instrText xml:space="preserve"> </w:instrText>
      </w:r>
      <w:r>
        <w:rPr>
          <w:i w:val="0"/>
          <w:iCs w:val="0"/>
          <w:color w:val="auto"/>
        </w:rPr>
        <w:instrText xml:space="preserve">PAGEREF _Toc244176401 \h</w:instrText>
      </w:r>
      <w:r>
        <w:rPr>
          <w:rFonts w:hint="eastAsia"/>
          <w:i w:val="0"/>
          <w:iCs w:val="0"/>
          <w:color w:val="auto"/>
        </w:rPr>
        <w:instrText xml:space="preserve"> </w:instrText>
      </w:r>
      <w:r>
        <w:rPr>
          <w:rFonts w:hint="eastAsia"/>
          <w:i w:val="0"/>
          <w:iCs w:val="0"/>
          <w:color w:val="auto"/>
        </w:rPr>
        <w:fldChar w:fldCharType="separate"/>
      </w:r>
      <w:r>
        <w:rPr>
          <w:rFonts w:hint="eastAsia"/>
          <w:i w:val="0"/>
          <w:iCs w:val="0"/>
          <w:color w:val="auto"/>
        </w:rPr>
        <w:t>20</w:t>
      </w:r>
      <w:r>
        <w:rPr>
          <w:rFonts w:hint="eastAsia"/>
          <w:i w:val="0"/>
          <w:iCs w:val="0"/>
          <w:color w:val="auto"/>
        </w:rPr>
        <w:fldChar w:fldCharType="end"/>
      </w:r>
      <w:r>
        <w:rPr>
          <w:rFonts w:hint="eastAsia"/>
          <w:i w:val="0"/>
          <w:iCs w:val="0"/>
          <w:color w:val="auto"/>
        </w:rPr>
        <w:fldChar w:fldCharType="end"/>
      </w:r>
    </w:p>
    <w:p w14:paraId="78D7C299">
      <w:pPr>
        <w:pStyle w:val="15"/>
        <w:tabs>
          <w:tab w:val="right" w:leader="dot" w:pos="9060"/>
        </w:tabs>
        <w:rPr>
          <w:rFonts w:hint="eastAsia" w:eastAsiaTheme="minorEastAsia"/>
          <w:i w:val="0"/>
          <w:iCs w:val="0"/>
          <w:color w:val="auto"/>
          <w:sz w:val="22"/>
          <w:szCs w:val="24"/>
          <w14:ligatures w14:val="standardContextual"/>
        </w:rPr>
      </w:pPr>
      <w:r>
        <w:rPr>
          <w:color w:val="auto"/>
        </w:rPr>
        <w:fldChar w:fldCharType="begin"/>
      </w:r>
      <w:r>
        <w:rPr>
          <w:color w:val="auto"/>
        </w:rPr>
        <w:instrText xml:space="preserve"> HYPERLINK \l "_Toc244176402" </w:instrText>
      </w:r>
      <w:r>
        <w:rPr>
          <w:color w:val="auto"/>
        </w:rPr>
        <w:fldChar w:fldCharType="separate"/>
      </w:r>
      <w:r>
        <w:rPr>
          <w:rStyle w:val="38"/>
          <w:rFonts w:ascii="宋体" w:hAnsi="宋体" w:eastAsia="宋体"/>
          <w:b/>
          <w:bCs/>
          <w:i w:val="0"/>
          <w:iCs w:val="0"/>
          <w:color w:val="auto"/>
        </w:rPr>
        <w:t>4.2.3电力实时监测</w:t>
      </w:r>
      <w:r>
        <w:rPr>
          <w:rFonts w:hint="eastAsia"/>
          <w:i w:val="0"/>
          <w:iCs w:val="0"/>
          <w:color w:val="auto"/>
        </w:rPr>
        <w:tab/>
      </w:r>
      <w:r>
        <w:rPr>
          <w:rFonts w:hint="eastAsia"/>
          <w:i w:val="0"/>
          <w:iCs w:val="0"/>
          <w:color w:val="auto"/>
        </w:rPr>
        <w:fldChar w:fldCharType="begin"/>
      </w:r>
      <w:r>
        <w:rPr>
          <w:rFonts w:hint="eastAsia"/>
          <w:i w:val="0"/>
          <w:iCs w:val="0"/>
          <w:color w:val="auto"/>
        </w:rPr>
        <w:instrText xml:space="preserve"> </w:instrText>
      </w:r>
      <w:r>
        <w:rPr>
          <w:i w:val="0"/>
          <w:iCs w:val="0"/>
          <w:color w:val="auto"/>
        </w:rPr>
        <w:instrText xml:space="preserve">PAGEREF _Toc244176402 \h</w:instrText>
      </w:r>
      <w:r>
        <w:rPr>
          <w:rFonts w:hint="eastAsia"/>
          <w:i w:val="0"/>
          <w:iCs w:val="0"/>
          <w:color w:val="auto"/>
        </w:rPr>
        <w:instrText xml:space="preserve"> </w:instrText>
      </w:r>
      <w:r>
        <w:rPr>
          <w:rFonts w:hint="eastAsia"/>
          <w:i w:val="0"/>
          <w:iCs w:val="0"/>
          <w:color w:val="auto"/>
        </w:rPr>
        <w:fldChar w:fldCharType="separate"/>
      </w:r>
      <w:r>
        <w:rPr>
          <w:rFonts w:hint="eastAsia"/>
          <w:i w:val="0"/>
          <w:iCs w:val="0"/>
          <w:color w:val="auto"/>
        </w:rPr>
        <w:t>20</w:t>
      </w:r>
      <w:r>
        <w:rPr>
          <w:rFonts w:hint="eastAsia"/>
          <w:i w:val="0"/>
          <w:iCs w:val="0"/>
          <w:color w:val="auto"/>
        </w:rPr>
        <w:fldChar w:fldCharType="end"/>
      </w:r>
      <w:r>
        <w:rPr>
          <w:rFonts w:hint="eastAsia"/>
          <w:i w:val="0"/>
          <w:iCs w:val="0"/>
          <w:color w:val="auto"/>
        </w:rPr>
        <w:fldChar w:fldCharType="end"/>
      </w:r>
    </w:p>
    <w:p w14:paraId="08516FF5">
      <w:pPr>
        <w:pStyle w:val="15"/>
        <w:tabs>
          <w:tab w:val="right" w:leader="dot" w:pos="9060"/>
        </w:tabs>
        <w:rPr>
          <w:rFonts w:hint="eastAsia" w:eastAsiaTheme="minorEastAsia"/>
          <w:i w:val="0"/>
          <w:iCs w:val="0"/>
          <w:color w:val="auto"/>
          <w:sz w:val="22"/>
          <w:szCs w:val="24"/>
          <w14:ligatures w14:val="standardContextual"/>
        </w:rPr>
      </w:pPr>
      <w:r>
        <w:rPr>
          <w:color w:val="auto"/>
        </w:rPr>
        <w:fldChar w:fldCharType="begin"/>
      </w:r>
      <w:r>
        <w:rPr>
          <w:color w:val="auto"/>
        </w:rPr>
        <w:instrText xml:space="preserve"> HYPERLINK \l "_Toc244176403" </w:instrText>
      </w:r>
      <w:r>
        <w:rPr>
          <w:color w:val="auto"/>
        </w:rPr>
        <w:fldChar w:fldCharType="separate"/>
      </w:r>
      <w:r>
        <w:rPr>
          <w:rStyle w:val="38"/>
          <w:rFonts w:ascii="宋体" w:hAnsi="宋体" w:eastAsia="宋体"/>
          <w:b/>
          <w:bCs/>
          <w:i w:val="0"/>
          <w:iCs w:val="0"/>
          <w:color w:val="auto"/>
        </w:rPr>
        <w:t>4.2.4电气接线图</w:t>
      </w:r>
      <w:r>
        <w:rPr>
          <w:rFonts w:hint="eastAsia"/>
          <w:i w:val="0"/>
          <w:iCs w:val="0"/>
          <w:color w:val="auto"/>
        </w:rPr>
        <w:tab/>
      </w:r>
      <w:r>
        <w:rPr>
          <w:rFonts w:hint="eastAsia"/>
          <w:i w:val="0"/>
          <w:iCs w:val="0"/>
          <w:color w:val="auto"/>
        </w:rPr>
        <w:fldChar w:fldCharType="begin"/>
      </w:r>
      <w:r>
        <w:rPr>
          <w:rFonts w:hint="eastAsia"/>
          <w:i w:val="0"/>
          <w:iCs w:val="0"/>
          <w:color w:val="auto"/>
        </w:rPr>
        <w:instrText xml:space="preserve"> </w:instrText>
      </w:r>
      <w:r>
        <w:rPr>
          <w:i w:val="0"/>
          <w:iCs w:val="0"/>
          <w:color w:val="auto"/>
        </w:rPr>
        <w:instrText xml:space="preserve">PAGEREF _Toc244176403 \h</w:instrText>
      </w:r>
      <w:r>
        <w:rPr>
          <w:rFonts w:hint="eastAsia"/>
          <w:i w:val="0"/>
          <w:iCs w:val="0"/>
          <w:color w:val="auto"/>
        </w:rPr>
        <w:instrText xml:space="preserve"> </w:instrText>
      </w:r>
      <w:r>
        <w:rPr>
          <w:rFonts w:hint="eastAsia"/>
          <w:i w:val="0"/>
          <w:iCs w:val="0"/>
          <w:color w:val="auto"/>
        </w:rPr>
        <w:fldChar w:fldCharType="separate"/>
      </w:r>
      <w:r>
        <w:rPr>
          <w:rFonts w:hint="eastAsia"/>
          <w:i w:val="0"/>
          <w:iCs w:val="0"/>
          <w:color w:val="auto"/>
        </w:rPr>
        <w:t>20</w:t>
      </w:r>
      <w:r>
        <w:rPr>
          <w:rFonts w:hint="eastAsia"/>
          <w:i w:val="0"/>
          <w:iCs w:val="0"/>
          <w:color w:val="auto"/>
        </w:rPr>
        <w:fldChar w:fldCharType="end"/>
      </w:r>
      <w:r>
        <w:rPr>
          <w:rFonts w:hint="eastAsia"/>
          <w:i w:val="0"/>
          <w:iCs w:val="0"/>
          <w:color w:val="auto"/>
        </w:rPr>
        <w:fldChar w:fldCharType="end"/>
      </w:r>
    </w:p>
    <w:p w14:paraId="3740AD99">
      <w:pPr>
        <w:pStyle w:val="15"/>
        <w:tabs>
          <w:tab w:val="right" w:leader="dot" w:pos="9060"/>
        </w:tabs>
        <w:rPr>
          <w:rFonts w:hint="eastAsia" w:eastAsiaTheme="minorEastAsia"/>
          <w:i w:val="0"/>
          <w:iCs w:val="0"/>
          <w:color w:val="auto"/>
          <w:sz w:val="22"/>
          <w:szCs w:val="24"/>
          <w14:ligatures w14:val="standardContextual"/>
        </w:rPr>
      </w:pPr>
      <w:r>
        <w:rPr>
          <w:color w:val="auto"/>
        </w:rPr>
        <w:fldChar w:fldCharType="begin"/>
      </w:r>
      <w:r>
        <w:rPr>
          <w:color w:val="auto"/>
        </w:rPr>
        <w:instrText xml:space="preserve"> HYPERLINK \l "_Toc244176404" </w:instrText>
      </w:r>
      <w:r>
        <w:rPr>
          <w:color w:val="auto"/>
        </w:rPr>
        <w:fldChar w:fldCharType="separate"/>
      </w:r>
      <w:r>
        <w:rPr>
          <w:rStyle w:val="38"/>
          <w:rFonts w:ascii="宋体" w:hAnsi="宋体" w:eastAsia="宋体"/>
          <w:b/>
          <w:bCs/>
          <w:i w:val="0"/>
          <w:iCs w:val="0"/>
          <w:color w:val="auto"/>
        </w:rPr>
        <w:t>4.2.5重点设备监测</w:t>
      </w:r>
      <w:r>
        <w:rPr>
          <w:rFonts w:hint="eastAsia"/>
          <w:i w:val="0"/>
          <w:iCs w:val="0"/>
          <w:color w:val="auto"/>
        </w:rPr>
        <w:tab/>
      </w:r>
      <w:r>
        <w:rPr>
          <w:rFonts w:hint="eastAsia"/>
          <w:i w:val="0"/>
          <w:iCs w:val="0"/>
          <w:color w:val="auto"/>
        </w:rPr>
        <w:fldChar w:fldCharType="begin"/>
      </w:r>
      <w:r>
        <w:rPr>
          <w:rFonts w:hint="eastAsia"/>
          <w:i w:val="0"/>
          <w:iCs w:val="0"/>
          <w:color w:val="auto"/>
        </w:rPr>
        <w:instrText xml:space="preserve"> </w:instrText>
      </w:r>
      <w:r>
        <w:rPr>
          <w:i w:val="0"/>
          <w:iCs w:val="0"/>
          <w:color w:val="auto"/>
        </w:rPr>
        <w:instrText xml:space="preserve">PAGEREF _Toc244176404 \h</w:instrText>
      </w:r>
      <w:r>
        <w:rPr>
          <w:rFonts w:hint="eastAsia"/>
          <w:i w:val="0"/>
          <w:iCs w:val="0"/>
          <w:color w:val="auto"/>
        </w:rPr>
        <w:instrText xml:space="preserve"> </w:instrText>
      </w:r>
      <w:r>
        <w:rPr>
          <w:rFonts w:hint="eastAsia"/>
          <w:i w:val="0"/>
          <w:iCs w:val="0"/>
          <w:color w:val="auto"/>
        </w:rPr>
        <w:fldChar w:fldCharType="separate"/>
      </w:r>
      <w:r>
        <w:rPr>
          <w:rFonts w:hint="eastAsia"/>
          <w:i w:val="0"/>
          <w:iCs w:val="0"/>
          <w:color w:val="auto"/>
        </w:rPr>
        <w:t>20</w:t>
      </w:r>
      <w:r>
        <w:rPr>
          <w:rFonts w:hint="eastAsia"/>
          <w:i w:val="0"/>
          <w:iCs w:val="0"/>
          <w:color w:val="auto"/>
        </w:rPr>
        <w:fldChar w:fldCharType="end"/>
      </w:r>
      <w:r>
        <w:rPr>
          <w:rFonts w:hint="eastAsia"/>
          <w:i w:val="0"/>
          <w:iCs w:val="0"/>
          <w:color w:val="auto"/>
        </w:rPr>
        <w:fldChar w:fldCharType="end"/>
      </w:r>
    </w:p>
    <w:p w14:paraId="475084C6">
      <w:pPr>
        <w:pStyle w:val="15"/>
        <w:tabs>
          <w:tab w:val="right" w:leader="dot" w:pos="9060"/>
        </w:tabs>
        <w:rPr>
          <w:rFonts w:hint="eastAsia" w:eastAsiaTheme="minorEastAsia"/>
          <w:i w:val="0"/>
          <w:iCs w:val="0"/>
          <w:color w:val="auto"/>
          <w:sz w:val="22"/>
          <w:szCs w:val="24"/>
          <w14:ligatures w14:val="standardContextual"/>
        </w:rPr>
      </w:pPr>
      <w:r>
        <w:rPr>
          <w:color w:val="auto"/>
        </w:rPr>
        <w:fldChar w:fldCharType="begin"/>
      </w:r>
      <w:r>
        <w:rPr>
          <w:color w:val="auto"/>
        </w:rPr>
        <w:instrText xml:space="preserve"> HYPERLINK \l "_Toc244176405" </w:instrText>
      </w:r>
      <w:r>
        <w:rPr>
          <w:color w:val="auto"/>
        </w:rPr>
        <w:fldChar w:fldCharType="separate"/>
      </w:r>
      <w:r>
        <w:rPr>
          <w:rStyle w:val="38"/>
          <w:rFonts w:ascii="宋体" w:hAnsi="宋体" w:eastAsia="宋体"/>
          <w:b/>
          <w:bCs/>
          <w:i w:val="0"/>
          <w:iCs w:val="0"/>
          <w:color w:val="auto"/>
        </w:rPr>
        <w:t>4.2.6能耗总览</w:t>
      </w:r>
      <w:r>
        <w:rPr>
          <w:rFonts w:hint="eastAsia"/>
          <w:i w:val="0"/>
          <w:iCs w:val="0"/>
          <w:color w:val="auto"/>
        </w:rPr>
        <w:tab/>
      </w:r>
      <w:r>
        <w:rPr>
          <w:rFonts w:hint="eastAsia"/>
          <w:i w:val="0"/>
          <w:iCs w:val="0"/>
          <w:color w:val="auto"/>
        </w:rPr>
        <w:fldChar w:fldCharType="begin"/>
      </w:r>
      <w:r>
        <w:rPr>
          <w:rFonts w:hint="eastAsia"/>
          <w:i w:val="0"/>
          <w:iCs w:val="0"/>
          <w:color w:val="auto"/>
        </w:rPr>
        <w:instrText xml:space="preserve"> </w:instrText>
      </w:r>
      <w:r>
        <w:rPr>
          <w:i w:val="0"/>
          <w:iCs w:val="0"/>
          <w:color w:val="auto"/>
        </w:rPr>
        <w:instrText xml:space="preserve">PAGEREF _Toc244176405 \h</w:instrText>
      </w:r>
      <w:r>
        <w:rPr>
          <w:rFonts w:hint="eastAsia"/>
          <w:i w:val="0"/>
          <w:iCs w:val="0"/>
          <w:color w:val="auto"/>
        </w:rPr>
        <w:instrText xml:space="preserve"> </w:instrText>
      </w:r>
      <w:r>
        <w:rPr>
          <w:rFonts w:hint="eastAsia"/>
          <w:i w:val="0"/>
          <w:iCs w:val="0"/>
          <w:color w:val="auto"/>
        </w:rPr>
        <w:fldChar w:fldCharType="separate"/>
      </w:r>
      <w:r>
        <w:rPr>
          <w:rFonts w:hint="eastAsia"/>
          <w:i w:val="0"/>
          <w:iCs w:val="0"/>
          <w:color w:val="auto"/>
        </w:rPr>
        <w:t>20</w:t>
      </w:r>
      <w:r>
        <w:rPr>
          <w:rFonts w:hint="eastAsia"/>
          <w:i w:val="0"/>
          <w:iCs w:val="0"/>
          <w:color w:val="auto"/>
        </w:rPr>
        <w:fldChar w:fldCharType="end"/>
      </w:r>
      <w:r>
        <w:rPr>
          <w:rFonts w:hint="eastAsia"/>
          <w:i w:val="0"/>
          <w:iCs w:val="0"/>
          <w:color w:val="auto"/>
        </w:rPr>
        <w:fldChar w:fldCharType="end"/>
      </w:r>
    </w:p>
    <w:p w14:paraId="770270A0">
      <w:pPr>
        <w:pStyle w:val="15"/>
        <w:tabs>
          <w:tab w:val="right" w:leader="dot" w:pos="9060"/>
        </w:tabs>
        <w:rPr>
          <w:rFonts w:hint="eastAsia" w:eastAsiaTheme="minorEastAsia"/>
          <w:i w:val="0"/>
          <w:iCs w:val="0"/>
          <w:color w:val="auto"/>
          <w:sz w:val="22"/>
          <w:szCs w:val="24"/>
          <w14:ligatures w14:val="standardContextual"/>
        </w:rPr>
      </w:pPr>
      <w:r>
        <w:rPr>
          <w:color w:val="auto"/>
        </w:rPr>
        <w:fldChar w:fldCharType="begin"/>
      </w:r>
      <w:r>
        <w:rPr>
          <w:color w:val="auto"/>
        </w:rPr>
        <w:instrText xml:space="preserve"> HYPERLINK \l "_Toc244176406" </w:instrText>
      </w:r>
      <w:r>
        <w:rPr>
          <w:color w:val="auto"/>
        </w:rPr>
        <w:fldChar w:fldCharType="separate"/>
      </w:r>
      <w:r>
        <w:rPr>
          <w:rStyle w:val="38"/>
          <w:rFonts w:ascii="宋体" w:hAnsi="宋体" w:eastAsia="宋体"/>
          <w:b/>
          <w:bCs/>
          <w:i w:val="0"/>
          <w:iCs w:val="0"/>
          <w:color w:val="auto"/>
        </w:rPr>
        <w:t>4.2.7用能分析</w:t>
      </w:r>
      <w:r>
        <w:rPr>
          <w:rFonts w:hint="eastAsia"/>
          <w:i w:val="0"/>
          <w:iCs w:val="0"/>
          <w:color w:val="auto"/>
        </w:rPr>
        <w:tab/>
      </w:r>
      <w:r>
        <w:rPr>
          <w:rFonts w:hint="eastAsia"/>
          <w:i w:val="0"/>
          <w:iCs w:val="0"/>
          <w:color w:val="auto"/>
        </w:rPr>
        <w:fldChar w:fldCharType="begin"/>
      </w:r>
      <w:r>
        <w:rPr>
          <w:rFonts w:hint="eastAsia"/>
          <w:i w:val="0"/>
          <w:iCs w:val="0"/>
          <w:color w:val="auto"/>
        </w:rPr>
        <w:instrText xml:space="preserve"> </w:instrText>
      </w:r>
      <w:r>
        <w:rPr>
          <w:i w:val="0"/>
          <w:iCs w:val="0"/>
          <w:color w:val="auto"/>
        </w:rPr>
        <w:instrText xml:space="preserve">PAGEREF _Toc244176406 \h</w:instrText>
      </w:r>
      <w:r>
        <w:rPr>
          <w:rFonts w:hint="eastAsia"/>
          <w:i w:val="0"/>
          <w:iCs w:val="0"/>
          <w:color w:val="auto"/>
        </w:rPr>
        <w:instrText xml:space="preserve"> </w:instrText>
      </w:r>
      <w:r>
        <w:rPr>
          <w:rFonts w:hint="eastAsia"/>
          <w:i w:val="0"/>
          <w:iCs w:val="0"/>
          <w:color w:val="auto"/>
        </w:rPr>
        <w:fldChar w:fldCharType="separate"/>
      </w:r>
      <w:r>
        <w:rPr>
          <w:rFonts w:hint="eastAsia"/>
          <w:i w:val="0"/>
          <w:iCs w:val="0"/>
          <w:color w:val="auto"/>
        </w:rPr>
        <w:t>21</w:t>
      </w:r>
      <w:r>
        <w:rPr>
          <w:rFonts w:hint="eastAsia"/>
          <w:i w:val="0"/>
          <w:iCs w:val="0"/>
          <w:color w:val="auto"/>
        </w:rPr>
        <w:fldChar w:fldCharType="end"/>
      </w:r>
      <w:r>
        <w:rPr>
          <w:rFonts w:hint="eastAsia"/>
          <w:i w:val="0"/>
          <w:iCs w:val="0"/>
          <w:color w:val="auto"/>
        </w:rPr>
        <w:fldChar w:fldCharType="end"/>
      </w:r>
    </w:p>
    <w:p w14:paraId="33A79C04">
      <w:pPr>
        <w:pStyle w:val="15"/>
        <w:tabs>
          <w:tab w:val="right" w:leader="dot" w:pos="9060"/>
        </w:tabs>
        <w:rPr>
          <w:rFonts w:hint="eastAsia" w:eastAsiaTheme="minorEastAsia"/>
          <w:i w:val="0"/>
          <w:iCs w:val="0"/>
          <w:color w:val="auto"/>
          <w:sz w:val="22"/>
          <w:szCs w:val="24"/>
          <w14:ligatures w14:val="standardContextual"/>
        </w:rPr>
      </w:pPr>
      <w:r>
        <w:rPr>
          <w:color w:val="auto"/>
        </w:rPr>
        <w:fldChar w:fldCharType="begin"/>
      </w:r>
      <w:r>
        <w:rPr>
          <w:color w:val="auto"/>
        </w:rPr>
        <w:instrText xml:space="preserve"> HYPERLINK \l "_Toc244176407" </w:instrText>
      </w:r>
      <w:r>
        <w:rPr>
          <w:color w:val="auto"/>
        </w:rPr>
        <w:fldChar w:fldCharType="separate"/>
      </w:r>
      <w:r>
        <w:rPr>
          <w:rStyle w:val="38"/>
          <w:rFonts w:ascii="宋体" w:hAnsi="宋体" w:eastAsia="宋体"/>
          <w:b/>
          <w:bCs/>
          <w:i w:val="0"/>
          <w:iCs w:val="0"/>
          <w:color w:val="auto"/>
        </w:rPr>
        <w:t>4.2.8电能质量监测</w:t>
      </w:r>
      <w:r>
        <w:rPr>
          <w:rFonts w:hint="eastAsia"/>
          <w:i w:val="0"/>
          <w:iCs w:val="0"/>
          <w:color w:val="auto"/>
        </w:rPr>
        <w:tab/>
      </w:r>
      <w:r>
        <w:rPr>
          <w:rFonts w:hint="eastAsia"/>
          <w:i w:val="0"/>
          <w:iCs w:val="0"/>
          <w:color w:val="auto"/>
        </w:rPr>
        <w:fldChar w:fldCharType="begin"/>
      </w:r>
      <w:r>
        <w:rPr>
          <w:rFonts w:hint="eastAsia"/>
          <w:i w:val="0"/>
          <w:iCs w:val="0"/>
          <w:color w:val="auto"/>
        </w:rPr>
        <w:instrText xml:space="preserve"> </w:instrText>
      </w:r>
      <w:r>
        <w:rPr>
          <w:i w:val="0"/>
          <w:iCs w:val="0"/>
          <w:color w:val="auto"/>
        </w:rPr>
        <w:instrText xml:space="preserve">PAGEREF _Toc244176407 \h</w:instrText>
      </w:r>
      <w:r>
        <w:rPr>
          <w:rFonts w:hint="eastAsia"/>
          <w:i w:val="0"/>
          <w:iCs w:val="0"/>
          <w:color w:val="auto"/>
        </w:rPr>
        <w:instrText xml:space="preserve"> </w:instrText>
      </w:r>
      <w:r>
        <w:rPr>
          <w:rFonts w:hint="eastAsia"/>
          <w:i w:val="0"/>
          <w:iCs w:val="0"/>
          <w:color w:val="auto"/>
        </w:rPr>
        <w:fldChar w:fldCharType="separate"/>
      </w:r>
      <w:r>
        <w:rPr>
          <w:rFonts w:hint="eastAsia"/>
          <w:i w:val="0"/>
          <w:iCs w:val="0"/>
          <w:color w:val="auto"/>
        </w:rPr>
        <w:t>21</w:t>
      </w:r>
      <w:r>
        <w:rPr>
          <w:rFonts w:hint="eastAsia"/>
          <w:i w:val="0"/>
          <w:iCs w:val="0"/>
          <w:color w:val="auto"/>
        </w:rPr>
        <w:fldChar w:fldCharType="end"/>
      </w:r>
      <w:r>
        <w:rPr>
          <w:rFonts w:hint="eastAsia"/>
          <w:i w:val="0"/>
          <w:iCs w:val="0"/>
          <w:color w:val="auto"/>
        </w:rPr>
        <w:fldChar w:fldCharType="end"/>
      </w:r>
    </w:p>
    <w:p w14:paraId="401922E4">
      <w:pPr>
        <w:pStyle w:val="15"/>
        <w:tabs>
          <w:tab w:val="right" w:leader="dot" w:pos="9060"/>
        </w:tabs>
        <w:rPr>
          <w:rFonts w:hint="eastAsia" w:eastAsiaTheme="minorEastAsia"/>
          <w:i w:val="0"/>
          <w:iCs w:val="0"/>
          <w:color w:val="auto"/>
          <w:sz w:val="22"/>
          <w:szCs w:val="24"/>
          <w14:ligatures w14:val="standardContextual"/>
        </w:rPr>
      </w:pPr>
      <w:r>
        <w:rPr>
          <w:color w:val="auto"/>
        </w:rPr>
        <w:fldChar w:fldCharType="begin"/>
      </w:r>
      <w:r>
        <w:rPr>
          <w:color w:val="auto"/>
        </w:rPr>
        <w:instrText xml:space="preserve"> HYPERLINK \l "_Toc244176408" </w:instrText>
      </w:r>
      <w:r>
        <w:rPr>
          <w:color w:val="auto"/>
        </w:rPr>
        <w:fldChar w:fldCharType="separate"/>
      </w:r>
      <w:r>
        <w:rPr>
          <w:rStyle w:val="38"/>
          <w:rFonts w:ascii="宋体" w:hAnsi="宋体" w:eastAsia="宋体"/>
          <w:b/>
          <w:bCs/>
          <w:i w:val="0"/>
          <w:iCs w:val="0"/>
          <w:color w:val="auto"/>
        </w:rPr>
        <w:t>4.2.9定值管理</w:t>
      </w:r>
      <w:r>
        <w:rPr>
          <w:rFonts w:hint="eastAsia"/>
          <w:i w:val="0"/>
          <w:iCs w:val="0"/>
          <w:color w:val="auto"/>
        </w:rPr>
        <w:tab/>
      </w:r>
      <w:r>
        <w:rPr>
          <w:rFonts w:hint="eastAsia"/>
          <w:i w:val="0"/>
          <w:iCs w:val="0"/>
          <w:color w:val="auto"/>
        </w:rPr>
        <w:fldChar w:fldCharType="begin"/>
      </w:r>
      <w:r>
        <w:rPr>
          <w:rFonts w:hint="eastAsia"/>
          <w:i w:val="0"/>
          <w:iCs w:val="0"/>
          <w:color w:val="auto"/>
        </w:rPr>
        <w:instrText xml:space="preserve"> </w:instrText>
      </w:r>
      <w:r>
        <w:rPr>
          <w:i w:val="0"/>
          <w:iCs w:val="0"/>
          <w:color w:val="auto"/>
        </w:rPr>
        <w:instrText xml:space="preserve">PAGEREF _Toc244176408 \h</w:instrText>
      </w:r>
      <w:r>
        <w:rPr>
          <w:rFonts w:hint="eastAsia"/>
          <w:i w:val="0"/>
          <w:iCs w:val="0"/>
          <w:color w:val="auto"/>
        </w:rPr>
        <w:instrText xml:space="preserve"> </w:instrText>
      </w:r>
      <w:r>
        <w:rPr>
          <w:rFonts w:hint="eastAsia"/>
          <w:i w:val="0"/>
          <w:iCs w:val="0"/>
          <w:color w:val="auto"/>
        </w:rPr>
        <w:fldChar w:fldCharType="separate"/>
      </w:r>
      <w:r>
        <w:rPr>
          <w:rFonts w:hint="eastAsia"/>
          <w:i w:val="0"/>
          <w:iCs w:val="0"/>
          <w:color w:val="auto"/>
        </w:rPr>
        <w:t>21</w:t>
      </w:r>
      <w:r>
        <w:rPr>
          <w:rFonts w:hint="eastAsia"/>
          <w:i w:val="0"/>
          <w:iCs w:val="0"/>
          <w:color w:val="auto"/>
        </w:rPr>
        <w:fldChar w:fldCharType="end"/>
      </w:r>
      <w:r>
        <w:rPr>
          <w:rFonts w:hint="eastAsia"/>
          <w:i w:val="0"/>
          <w:iCs w:val="0"/>
          <w:color w:val="auto"/>
        </w:rPr>
        <w:fldChar w:fldCharType="end"/>
      </w:r>
    </w:p>
    <w:p w14:paraId="1F5C4BB6">
      <w:pPr>
        <w:pStyle w:val="15"/>
        <w:tabs>
          <w:tab w:val="right" w:leader="dot" w:pos="9060"/>
        </w:tabs>
        <w:rPr>
          <w:rFonts w:hint="eastAsia" w:eastAsiaTheme="minorEastAsia"/>
          <w:i w:val="0"/>
          <w:iCs w:val="0"/>
          <w:color w:val="auto"/>
          <w:sz w:val="22"/>
          <w:szCs w:val="24"/>
          <w14:ligatures w14:val="standardContextual"/>
        </w:rPr>
      </w:pPr>
      <w:r>
        <w:rPr>
          <w:color w:val="auto"/>
        </w:rPr>
        <w:fldChar w:fldCharType="begin"/>
      </w:r>
      <w:r>
        <w:rPr>
          <w:color w:val="auto"/>
        </w:rPr>
        <w:instrText xml:space="preserve"> HYPERLINK \l "_Toc244176409" </w:instrText>
      </w:r>
      <w:r>
        <w:rPr>
          <w:color w:val="auto"/>
        </w:rPr>
        <w:fldChar w:fldCharType="separate"/>
      </w:r>
      <w:r>
        <w:rPr>
          <w:rStyle w:val="38"/>
          <w:rFonts w:ascii="宋体" w:hAnsi="宋体" w:eastAsia="宋体"/>
          <w:b/>
          <w:bCs/>
          <w:i w:val="0"/>
          <w:iCs w:val="0"/>
          <w:color w:val="auto"/>
        </w:rPr>
        <w:t>4.2.10用能实时查询</w:t>
      </w:r>
      <w:r>
        <w:rPr>
          <w:rFonts w:hint="eastAsia"/>
          <w:i w:val="0"/>
          <w:iCs w:val="0"/>
          <w:color w:val="auto"/>
        </w:rPr>
        <w:tab/>
      </w:r>
      <w:r>
        <w:rPr>
          <w:rFonts w:hint="eastAsia"/>
          <w:i w:val="0"/>
          <w:iCs w:val="0"/>
          <w:color w:val="auto"/>
        </w:rPr>
        <w:fldChar w:fldCharType="begin"/>
      </w:r>
      <w:r>
        <w:rPr>
          <w:rFonts w:hint="eastAsia"/>
          <w:i w:val="0"/>
          <w:iCs w:val="0"/>
          <w:color w:val="auto"/>
        </w:rPr>
        <w:instrText xml:space="preserve"> </w:instrText>
      </w:r>
      <w:r>
        <w:rPr>
          <w:i w:val="0"/>
          <w:iCs w:val="0"/>
          <w:color w:val="auto"/>
        </w:rPr>
        <w:instrText xml:space="preserve">PAGEREF _Toc244176409 \h</w:instrText>
      </w:r>
      <w:r>
        <w:rPr>
          <w:rFonts w:hint="eastAsia"/>
          <w:i w:val="0"/>
          <w:iCs w:val="0"/>
          <w:color w:val="auto"/>
        </w:rPr>
        <w:instrText xml:space="preserve"> </w:instrText>
      </w:r>
      <w:r>
        <w:rPr>
          <w:rFonts w:hint="eastAsia"/>
          <w:i w:val="0"/>
          <w:iCs w:val="0"/>
          <w:color w:val="auto"/>
        </w:rPr>
        <w:fldChar w:fldCharType="separate"/>
      </w:r>
      <w:r>
        <w:rPr>
          <w:rFonts w:hint="eastAsia"/>
          <w:i w:val="0"/>
          <w:iCs w:val="0"/>
          <w:color w:val="auto"/>
        </w:rPr>
        <w:t>21</w:t>
      </w:r>
      <w:r>
        <w:rPr>
          <w:rFonts w:hint="eastAsia"/>
          <w:i w:val="0"/>
          <w:iCs w:val="0"/>
          <w:color w:val="auto"/>
        </w:rPr>
        <w:fldChar w:fldCharType="end"/>
      </w:r>
      <w:r>
        <w:rPr>
          <w:rFonts w:hint="eastAsia"/>
          <w:i w:val="0"/>
          <w:iCs w:val="0"/>
          <w:color w:val="auto"/>
        </w:rPr>
        <w:fldChar w:fldCharType="end"/>
      </w:r>
    </w:p>
    <w:p w14:paraId="32D15883">
      <w:pPr>
        <w:pStyle w:val="15"/>
        <w:tabs>
          <w:tab w:val="right" w:leader="dot" w:pos="9060"/>
        </w:tabs>
        <w:rPr>
          <w:rFonts w:hint="eastAsia" w:eastAsiaTheme="minorEastAsia"/>
          <w:i w:val="0"/>
          <w:iCs w:val="0"/>
          <w:color w:val="auto"/>
          <w:sz w:val="22"/>
          <w:szCs w:val="24"/>
          <w14:ligatures w14:val="standardContextual"/>
        </w:rPr>
      </w:pPr>
      <w:r>
        <w:rPr>
          <w:color w:val="auto"/>
        </w:rPr>
        <w:fldChar w:fldCharType="begin"/>
      </w:r>
      <w:r>
        <w:rPr>
          <w:color w:val="auto"/>
        </w:rPr>
        <w:instrText xml:space="preserve"> HYPERLINK \l "_Toc244176410" </w:instrText>
      </w:r>
      <w:r>
        <w:rPr>
          <w:color w:val="auto"/>
        </w:rPr>
        <w:fldChar w:fldCharType="separate"/>
      </w:r>
      <w:r>
        <w:rPr>
          <w:rStyle w:val="38"/>
          <w:rFonts w:ascii="宋体" w:hAnsi="宋体" w:eastAsia="宋体"/>
          <w:b/>
          <w:bCs/>
          <w:i w:val="0"/>
          <w:iCs w:val="0"/>
          <w:color w:val="auto"/>
        </w:rPr>
        <w:t>4.2.11用能报表</w:t>
      </w:r>
      <w:r>
        <w:rPr>
          <w:rFonts w:hint="eastAsia"/>
          <w:i w:val="0"/>
          <w:iCs w:val="0"/>
          <w:color w:val="auto"/>
        </w:rPr>
        <w:tab/>
      </w:r>
      <w:r>
        <w:rPr>
          <w:rFonts w:hint="eastAsia"/>
          <w:i w:val="0"/>
          <w:iCs w:val="0"/>
          <w:color w:val="auto"/>
        </w:rPr>
        <w:fldChar w:fldCharType="begin"/>
      </w:r>
      <w:r>
        <w:rPr>
          <w:rFonts w:hint="eastAsia"/>
          <w:i w:val="0"/>
          <w:iCs w:val="0"/>
          <w:color w:val="auto"/>
        </w:rPr>
        <w:instrText xml:space="preserve"> </w:instrText>
      </w:r>
      <w:r>
        <w:rPr>
          <w:i w:val="0"/>
          <w:iCs w:val="0"/>
          <w:color w:val="auto"/>
        </w:rPr>
        <w:instrText xml:space="preserve">PAGEREF _Toc244176410 \h</w:instrText>
      </w:r>
      <w:r>
        <w:rPr>
          <w:rFonts w:hint="eastAsia"/>
          <w:i w:val="0"/>
          <w:iCs w:val="0"/>
          <w:color w:val="auto"/>
        </w:rPr>
        <w:instrText xml:space="preserve"> </w:instrText>
      </w:r>
      <w:r>
        <w:rPr>
          <w:rFonts w:hint="eastAsia"/>
          <w:i w:val="0"/>
          <w:iCs w:val="0"/>
          <w:color w:val="auto"/>
        </w:rPr>
        <w:fldChar w:fldCharType="separate"/>
      </w:r>
      <w:r>
        <w:rPr>
          <w:rFonts w:hint="eastAsia"/>
          <w:i w:val="0"/>
          <w:iCs w:val="0"/>
          <w:color w:val="auto"/>
        </w:rPr>
        <w:t>21</w:t>
      </w:r>
      <w:r>
        <w:rPr>
          <w:rFonts w:hint="eastAsia"/>
          <w:i w:val="0"/>
          <w:iCs w:val="0"/>
          <w:color w:val="auto"/>
        </w:rPr>
        <w:fldChar w:fldCharType="end"/>
      </w:r>
      <w:r>
        <w:rPr>
          <w:rFonts w:hint="eastAsia"/>
          <w:i w:val="0"/>
          <w:iCs w:val="0"/>
          <w:color w:val="auto"/>
        </w:rPr>
        <w:fldChar w:fldCharType="end"/>
      </w:r>
    </w:p>
    <w:p w14:paraId="243D79CD">
      <w:pPr>
        <w:pStyle w:val="15"/>
        <w:tabs>
          <w:tab w:val="right" w:leader="dot" w:pos="9060"/>
        </w:tabs>
        <w:rPr>
          <w:rFonts w:hint="eastAsia" w:eastAsiaTheme="minorEastAsia"/>
          <w:i w:val="0"/>
          <w:iCs w:val="0"/>
          <w:color w:val="auto"/>
          <w:sz w:val="22"/>
          <w:szCs w:val="24"/>
          <w14:ligatures w14:val="standardContextual"/>
        </w:rPr>
      </w:pPr>
      <w:r>
        <w:rPr>
          <w:color w:val="auto"/>
        </w:rPr>
        <w:fldChar w:fldCharType="begin"/>
      </w:r>
      <w:r>
        <w:rPr>
          <w:color w:val="auto"/>
        </w:rPr>
        <w:instrText xml:space="preserve"> HYPERLINK \l "_Toc244176411" </w:instrText>
      </w:r>
      <w:r>
        <w:rPr>
          <w:color w:val="auto"/>
        </w:rPr>
        <w:fldChar w:fldCharType="separate"/>
      </w:r>
      <w:r>
        <w:rPr>
          <w:rStyle w:val="38"/>
          <w:rFonts w:ascii="宋体" w:hAnsi="宋体" w:eastAsia="宋体"/>
          <w:b/>
          <w:bCs/>
          <w:i w:val="0"/>
          <w:iCs w:val="0"/>
          <w:color w:val="auto"/>
        </w:rPr>
        <w:t>4.2.12告警管理</w:t>
      </w:r>
      <w:r>
        <w:rPr>
          <w:rFonts w:hint="eastAsia"/>
          <w:i w:val="0"/>
          <w:iCs w:val="0"/>
          <w:color w:val="auto"/>
        </w:rPr>
        <w:tab/>
      </w:r>
      <w:r>
        <w:rPr>
          <w:rFonts w:hint="eastAsia"/>
          <w:i w:val="0"/>
          <w:iCs w:val="0"/>
          <w:color w:val="auto"/>
        </w:rPr>
        <w:fldChar w:fldCharType="begin"/>
      </w:r>
      <w:r>
        <w:rPr>
          <w:rFonts w:hint="eastAsia"/>
          <w:i w:val="0"/>
          <w:iCs w:val="0"/>
          <w:color w:val="auto"/>
        </w:rPr>
        <w:instrText xml:space="preserve"> </w:instrText>
      </w:r>
      <w:r>
        <w:rPr>
          <w:i w:val="0"/>
          <w:iCs w:val="0"/>
          <w:color w:val="auto"/>
        </w:rPr>
        <w:instrText xml:space="preserve">PAGEREF _Toc244176411 \h</w:instrText>
      </w:r>
      <w:r>
        <w:rPr>
          <w:rFonts w:hint="eastAsia"/>
          <w:i w:val="0"/>
          <w:iCs w:val="0"/>
          <w:color w:val="auto"/>
        </w:rPr>
        <w:instrText xml:space="preserve"> </w:instrText>
      </w:r>
      <w:r>
        <w:rPr>
          <w:rFonts w:hint="eastAsia"/>
          <w:i w:val="0"/>
          <w:iCs w:val="0"/>
          <w:color w:val="auto"/>
        </w:rPr>
        <w:fldChar w:fldCharType="separate"/>
      </w:r>
      <w:r>
        <w:rPr>
          <w:rFonts w:hint="eastAsia"/>
          <w:i w:val="0"/>
          <w:iCs w:val="0"/>
          <w:color w:val="auto"/>
        </w:rPr>
        <w:t>21</w:t>
      </w:r>
      <w:r>
        <w:rPr>
          <w:rFonts w:hint="eastAsia"/>
          <w:i w:val="0"/>
          <w:iCs w:val="0"/>
          <w:color w:val="auto"/>
        </w:rPr>
        <w:fldChar w:fldCharType="end"/>
      </w:r>
      <w:r>
        <w:rPr>
          <w:rFonts w:hint="eastAsia"/>
          <w:i w:val="0"/>
          <w:iCs w:val="0"/>
          <w:color w:val="auto"/>
        </w:rPr>
        <w:fldChar w:fldCharType="end"/>
      </w:r>
    </w:p>
    <w:p w14:paraId="657669A3">
      <w:pPr>
        <w:pStyle w:val="15"/>
        <w:tabs>
          <w:tab w:val="right" w:leader="dot" w:pos="9060"/>
        </w:tabs>
        <w:rPr>
          <w:rFonts w:hint="eastAsia" w:eastAsiaTheme="minorEastAsia"/>
          <w:i w:val="0"/>
          <w:iCs w:val="0"/>
          <w:color w:val="auto"/>
          <w:sz w:val="22"/>
          <w:szCs w:val="24"/>
          <w14:ligatures w14:val="standardContextual"/>
        </w:rPr>
      </w:pPr>
      <w:r>
        <w:rPr>
          <w:color w:val="auto"/>
        </w:rPr>
        <w:fldChar w:fldCharType="begin"/>
      </w:r>
      <w:r>
        <w:rPr>
          <w:color w:val="auto"/>
        </w:rPr>
        <w:instrText xml:space="preserve"> HYPERLINK \l "_Toc244176412" </w:instrText>
      </w:r>
      <w:r>
        <w:rPr>
          <w:color w:val="auto"/>
        </w:rPr>
        <w:fldChar w:fldCharType="separate"/>
      </w:r>
      <w:r>
        <w:rPr>
          <w:rStyle w:val="38"/>
          <w:rFonts w:ascii="宋体" w:hAnsi="宋体" w:eastAsia="宋体"/>
          <w:b/>
          <w:bCs/>
          <w:i w:val="0"/>
          <w:iCs w:val="0"/>
          <w:color w:val="auto"/>
        </w:rPr>
        <w:t>4.2.13 辅助监控系统</w:t>
      </w:r>
      <w:r>
        <w:rPr>
          <w:rFonts w:hint="eastAsia"/>
          <w:i w:val="0"/>
          <w:iCs w:val="0"/>
          <w:color w:val="auto"/>
        </w:rPr>
        <w:tab/>
      </w:r>
      <w:r>
        <w:rPr>
          <w:rFonts w:hint="eastAsia"/>
          <w:i w:val="0"/>
          <w:iCs w:val="0"/>
          <w:color w:val="auto"/>
        </w:rPr>
        <w:fldChar w:fldCharType="begin"/>
      </w:r>
      <w:r>
        <w:rPr>
          <w:rFonts w:hint="eastAsia"/>
          <w:i w:val="0"/>
          <w:iCs w:val="0"/>
          <w:color w:val="auto"/>
        </w:rPr>
        <w:instrText xml:space="preserve"> </w:instrText>
      </w:r>
      <w:r>
        <w:rPr>
          <w:i w:val="0"/>
          <w:iCs w:val="0"/>
          <w:color w:val="auto"/>
        </w:rPr>
        <w:instrText xml:space="preserve">PAGEREF _Toc244176412 \h</w:instrText>
      </w:r>
      <w:r>
        <w:rPr>
          <w:rFonts w:hint="eastAsia"/>
          <w:i w:val="0"/>
          <w:iCs w:val="0"/>
          <w:color w:val="auto"/>
        </w:rPr>
        <w:instrText xml:space="preserve"> </w:instrText>
      </w:r>
      <w:r>
        <w:rPr>
          <w:rFonts w:hint="eastAsia"/>
          <w:i w:val="0"/>
          <w:iCs w:val="0"/>
          <w:color w:val="auto"/>
        </w:rPr>
        <w:fldChar w:fldCharType="separate"/>
      </w:r>
      <w:r>
        <w:rPr>
          <w:rFonts w:hint="eastAsia"/>
          <w:i w:val="0"/>
          <w:iCs w:val="0"/>
          <w:color w:val="auto"/>
        </w:rPr>
        <w:t>22</w:t>
      </w:r>
      <w:r>
        <w:rPr>
          <w:rFonts w:hint="eastAsia"/>
          <w:i w:val="0"/>
          <w:iCs w:val="0"/>
          <w:color w:val="auto"/>
        </w:rPr>
        <w:fldChar w:fldCharType="end"/>
      </w:r>
      <w:r>
        <w:rPr>
          <w:rFonts w:hint="eastAsia"/>
          <w:i w:val="0"/>
          <w:iCs w:val="0"/>
          <w:color w:val="auto"/>
        </w:rPr>
        <w:fldChar w:fldCharType="end"/>
      </w:r>
    </w:p>
    <w:p w14:paraId="0ABF8CF3">
      <w:pPr>
        <w:pStyle w:val="15"/>
        <w:tabs>
          <w:tab w:val="right" w:leader="dot" w:pos="9060"/>
        </w:tabs>
        <w:rPr>
          <w:rFonts w:hint="eastAsia" w:eastAsiaTheme="minorEastAsia"/>
          <w:i w:val="0"/>
          <w:iCs w:val="0"/>
          <w:color w:val="auto"/>
          <w:sz w:val="22"/>
          <w:szCs w:val="24"/>
          <w14:ligatures w14:val="standardContextual"/>
        </w:rPr>
      </w:pPr>
      <w:r>
        <w:rPr>
          <w:color w:val="auto"/>
        </w:rPr>
        <w:fldChar w:fldCharType="begin"/>
      </w:r>
      <w:r>
        <w:rPr>
          <w:color w:val="auto"/>
        </w:rPr>
        <w:instrText xml:space="preserve"> HYPERLINK \l "_Toc244176413" </w:instrText>
      </w:r>
      <w:r>
        <w:rPr>
          <w:color w:val="auto"/>
        </w:rPr>
        <w:fldChar w:fldCharType="separate"/>
      </w:r>
      <w:r>
        <w:rPr>
          <w:rStyle w:val="38"/>
          <w:rFonts w:ascii="宋体" w:hAnsi="宋体" w:eastAsia="宋体"/>
          <w:b/>
          <w:bCs/>
          <w:i w:val="0"/>
          <w:iCs w:val="0"/>
          <w:color w:val="auto"/>
        </w:rPr>
        <w:t>4.2.14 移动端APP</w:t>
      </w:r>
      <w:r>
        <w:rPr>
          <w:rFonts w:hint="eastAsia"/>
          <w:i w:val="0"/>
          <w:iCs w:val="0"/>
          <w:color w:val="auto"/>
        </w:rPr>
        <w:tab/>
      </w:r>
      <w:r>
        <w:rPr>
          <w:rFonts w:hint="eastAsia"/>
          <w:i w:val="0"/>
          <w:iCs w:val="0"/>
          <w:color w:val="auto"/>
        </w:rPr>
        <w:fldChar w:fldCharType="begin"/>
      </w:r>
      <w:r>
        <w:rPr>
          <w:rFonts w:hint="eastAsia"/>
          <w:i w:val="0"/>
          <w:iCs w:val="0"/>
          <w:color w:val="auto"/>
        </w:rPr>
        <w:instrText xml:space="preserve"> </w:instrText>
      </w:r>
      <w:r>
        <w:rPr>
          <w:i w:val="0"/>
          <w:iCs w:val="0"/>
          <w:color w:val="auto"/>
        </w:rPr>
        <w:instrText xml:space="preserve">PAGEREF _Toc244176413 \h</w:instrText>
      </w:r>
      <w:r>
        <w:rPr>
          <w:rFonts w:hint="eastAsia"/>
          <w:i w:val="0"/>
          <w:iCs w:val="0"/>
          <w:color w:val="auto"/>
        </w:rPr>
        <w:instrText xml:space="preserve"> </w:instrText>
      </w:r>
      <w:r>
        <w:rPr>
          <w:rFonts w:hint="eastAsia"/>
          <w:i w:val="0"/>
          <w:iCs w:val="0"/>
          <w:color w:val="auto"/>
        </w:rPr>
        <w:fldChar w:fldCharType="separate"/>
      </w:r>
      <w:r>
        <w:rPr>
          <w:rFonts w:hint="eastAsia"/>
          <w:i w:val="0"/>
          <w:iCs w:val="0"/>
          <w:color w:val="auto"/>
        </w:rPr>
        <w:t>22</w:t>
      </w:r>
      <w:r>
        <w:rPr>
          <w:rFonts w:hint="eastAsia"/>
          <w:i w:val="0"/>
          <w:iCs w:val="0"/>
          <w:color w:val="auto"/>
        </w:rPr>
        <w:fldChar w:fldCharType="end"/>
      </w:r>
      <w:r>
        <w:rPr>
          <w:rFonts w:hint="eastAsia"/>
          <w:i w:val="0"/>
          <w:iCs w:val="0"/>
          <w:color w:val="auto"/>
        </w:rPr>
        <w:fldChar w:fldCharType="end"/>
      </w:r>
    </w:p>
    <w:p w14:paraId="718F0DFB">
      <w:pPr>
        <w:pStyle w:val="22"/>
        <w:tabs>
          <w:tab w:val="right" w:leader="dot" w:pos="9060"/>
        </w:tabs>
        <w:rPr>
          <w:rFonts w:hint="eastAsia" w:eastAsiaTheme="minorEastAsia"/>
          <w:b w:val="0"/>
          <w:bCs w:val="0"/>
          <w:caps w:val="0"/>
          <w:color w:val="auto"/>
          <w:sz w:val="22"/>
          <w:szCs w:val="24"/>
          <w14:ligatures w14:val="standardContextual"/>
        </w:rPr>
      </w:pPr>
      <w:r>
        <w:rPr>
          <w:color w:val="auto"/>
        </w:rPr>
        <w:fldChar w:fldCharType="begin"/>
      </w:r>
      <w:r>
        <w:rPr>
          <w:color w:val="auto"/>
        </w:rPr>
        <w:instrText xml:space="preserve"> HYPERLINK \l "_Toc244176414" </w:instrText>
      </w:r>
      <w:r>
        <w:rPr>
          <w:color w:val="auto"/>
        </w:rPr>
        <w:fldChar w:fldCharType="separate"/>
      </w:r>
      <w:r>
        <w:rPr>
          <w:rStyle w:val="38"/>
          <w:color w:val="auto"/>
        </w:rPr>
        <w:t>五、供货范围</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_Toc244176414 \h</w:instrText>
      </w:r>
      <w:r>
        <w:rPr>
          <w:rFonts w:hint="eastAsia"/>
          <w:color w:val="auto"/>
        </w:rPr>
        <w:instrText xml:space="preserve"> </w:instrText>
      </w:r>
      <w:r>
        <w:rPr>
          <w:rFonts w:hint="eastAsia"/>
          <w:color w:val="auto"/>
        </w:rPr>
        <w:fldChar w:fldCharType="separate"/>
      </w:r>
      <w:r>
        <w:rPr>
          <w:rFonts w:hint="eastAsia"/>
          <w:color w:val="auto"/>
        </w:rPr>
        <w:t>23</w:t>
      </w:r>
      <w:r>
        <w:rPr>
          <w:rFonts w:hint="eastAsia"/>
          <w:color w:val="auto"/>
        </w:rPr>
        <w:fldChar w:fldCharType="end"/>
      </w:r>
      <w:r>
        <w:rPr>
          <w:rFonts w:hint="eastAsia"/>
          <w:color w:val="auto"/>
        </w:rPr>
        <w:fldChar w:fldCharType="end"/>
      </w:r>
    </w:p>
    <w:p w14:paraId="18184FDF">
      <w:pPr>
        <w:pStyle w:val="22"/>
        <w:tabs>
          <w:tab w:val="right" w:leader="dot" w:pos="9060"/>
        </w:tabs>
        <w:rPr>
          <w:rFonts w:hint="eastAsia" w:eastAsiaTheme="minorEastAsia"/>
          <w:b w:val="0"/>
          <w:bCs w:val="0"/>
          <w:caps w:val="0"/>
          <w:color w:val="auto"/>
          <w:sz w:val="22"/>
          <w:szCs w:val="24"/>
          <w14:ligatures w14:val="standardContextual"/>
        </w:rPr>
      </w:pPr>
      <w:r>
        <w:rPr>
          <w:color w:val="auto"/>
        </w:rPr>
        <w:fldChar w:fldCharType="begin"/>
      </w:r>
      <w:r>
        <w:rPr>
          <w:color w:val="auto"/>
        </w:rPr>
        <w:instrText xml:space="preserve"> HYPERLINK \l "_Toc244176415" </w:instrText>
      </w:r>
      <w:r>
        <w:rPr>
          <w:color w:val="auto"/>
        </w:rPr>
        <w:fldChar w:fldCharType="separate"/>
      </w:r>
      <w:r>
        <w:rPr>
          <w:rStyle w:val="38"/>
          <w:rFonts w:ascii="宋体" w:hAnsi="宋体" w:eastAsia="宋体"/>
          <w:color w:val="auto"/>
        </w:rPr>
        <w:t>六、试验、调试与验收</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_Toc244176415 \h</w:instrText>
      </w:r>
      <w:r>
        <w:rPr>
          <w:rFonts w:hint="eastAsia"/>
          <w:color w:val="auto"/>
        </w:rPr>
        <w:instrText xml:space="preserve"> </w:instrText>
      </w:r>
      <w:r>
        <w:rPr>
          <w:rFonts w:hint="eastAsia"/>
          <w:color w:val="auto"/>
        </w:rPr>
        <w:fldChar w:fldCharType="separate"/>
      </w:r>
      <w:r>
        <w:rPr>
          <w:rFonts w:hint="eastAsia"/>
          <w:color w:val="auto"/>
        </w:rPr>
        <w:t>25</w:t>
      </w:r>
      <w:r>
        <w:rPr>
          <w:rFonts w:hint="eastAsia"/>
          <w:color w:val="auto"/>
        </w:rPr>
        <w:fldChar w:fldCharType="end"/>
      </w:r>
      <w:r>
        <w:rPr>
          <w:rFonts w:hint="eastAsia"/>
          <w:color w:val="auto"/>
        </w:rPr>
        <w:fldChar w:fldCharType="end"/>
      </w:r>
    </w:p>
    <w:p w14:paraId="77BCD0E3">
      <w:pPr>
        <w:pStyle w:val="26"/>
        <w:tabs>
          <w:tab w:val="right" w:leader="dot" w:pos="9060"/>
        </w:tabs>
        <w:rPr>
          <w:rFonts w:hint="eastAsia" w:eastAsiaTheme="minorEastAsia"/>
          <w:smallCaps w:val="0"/>
          <w:color w:val="auto"/>
          <w:sz w:val="22"/>
          <w:szCs w:val="24"/>
          <w14:ligatures w14:val="standardContextual"/>
        </w:rPr>
      </w:pPr>
      <w:r>
        <w:rPr>
          <w:color w:val="auto"/>
        </w:rPr>
        <w:fldChar w:fldCharType="begin"/>
      </w:r>
      <w:r>
        <w:rPr>
          <w:color w:val="auto"/>
        </w:rPr>
        <w:instrText xml:space="preserve"> HYPERLINK \l "_Toc244176416" </w:instrText>
      </w:r>
      <w:r>
        <w:rPr>
          <w:color w:val="auto"/>
        </w:rPr>
        <w:fldChar w:fldCharType="separate"/>
      </w:r>
      <w:r>
        <w:rPr>
          <w:rStyle w:val="38"/>
          <w:rFonts w:ascii="宋体" w:hAnsi="宋体" w:eastAsia="宋体"/>
          <w:b/>
          <w:bCs/>
          <w:color w:val="auto"/>
        </w:rPr>
        <w:t>6.1 出厂检验</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_Toc244176416 \h</w:instrText>
      </w:r>
      <w:r>
        <w:rPr>
          <w:rFonts w:hint="eastAsia"/>
          <w:color w:val="auto"/>
        </w:rPr>
        <w:instrText xml:space="preserve"> </w:instrText>
      </w:r>
      <w:r>
        <w:rPr>
          <w:rFonts w:hint="eastAsia"/>
          <w:color w:val="auto"/>
        </w:rPr>
        <w:fldChar w:fldCharType="separate"/>
      </w:r>
      <w:r>
        <w:rPr>
          <w:rFonts w:hint="eastAsia"/>
          <w:color w:val="auto"/>
        </w:rPr>
        <w:t>25</w:t>
      </w:r>
      <w:r>
        <w:rPr>
          <w:rFonts w:hint="eastAsia"/>
          <w:color w:val="auto"/>
        </w:rPr>
        <w:fldChar w:fldCharType="end"/>
      </w:r>
      <w:r>
        <w:rPr>
          <w:rFonts w:hint="eastAsia"/>
          <w:color w:val="auto"/>
        </w:rPr>
        <w:fldChar w:fldCharType="end"/>
      </w:r>
    </w:p>
    <w:p w14:paraId="21A67B1E">
      <w:pPr>
        <w:pStyle w:val="26"/>
        <w:tabs>
          <w:tab w:val="right" w:leader="dot" w:pos="9060"/>
        </w:tabs>
        <w:rPr>
          <w:rFonts w:hint="eastAsia" w:eastAsiaTheme="minorEastAsia"/>
          <w:smallCaps w:val="0"/>
          <w:color w:val="auto"/>
          <w:sz w:val="22"/>
          <w:szCs w:val="24"/>
          <w14:ligatures w14:val="standardContextual"/>
        </w:rPr>
      </w:pPr>
      <w:r>
        <w:rPr>
          <w:color w:val="auto"/>
        </w:rPr>
        <w:fldChar w:fldCharType="begin"/>
      </w:r>
      <w:r>
        <w:rPr>
          <w:color w:val="auto"/>
        </w:rPr>
        <w:instrText xml:space="preserve"> HYPERLINK \l "_Toc244176417" </w:instrText>
      </w:r>
      <w:r>
        <w:rPr>
          <w:color w:val="auto"/>
        </w:rPr>
        <w:fldChar w:fldCharType="separate"/>
      </w:r>
      <w:r>
        <w:rPr>
          <w:rStyle w:val="38"/>
          <w:rFonts w:ascii="宋体" w:hAnsi="宋体" w:eastAsia="宋体"/>
          <w:b/>
          <w:bCs/>
          <w:color w:val="auto"/>
        </w:rPr>
        <w:t>6.2 现场调试</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_Toc244176417 \h</w:instrText>
      </w:r>
      <w:r>
        <w:rPr>
          <w:rFonts w:hint="eastAsia"/>
          <w:color w:val="auto"/>
        </w:rPr>
        <w:instrText xml:space="preserve"> </w:instrText>
      </w:r>
      <w:r>
        <w:rPr>
          <w:rFonts w:hint="eastAsia"/>
          <w:color w:val="auto"/>
        </w:rPr>
        <w:fldChar w:fldCharType="separate"/>
      </w:r>
      <w:r>
        <w:rPr>
          <w:rFonts w:hint="eastAsia"/>
          <w:color w:val="auto"/>
        </w:rPr>
        <w:t>25</w:t>
      </w:r>
      <w:r>
        <w:rPr>
          <w:rFonts w:hint="eastAsia"/>
          <w:color w:val="auto"/>
        </w:rPr>
        <w:fldChar w:fldCharType="end"/>
      </w:r>
      <w:r>
        <w:rPr>
          <w:rFonts w:hint="eastAsia"/>
          <w:color w:val="auto"/>
        </w:rPr>
        <w:fldChar w:fldCharType="end"/>
      </w:r>
    </w:p>
    <w:p w14:paraId="0ACE020C">
      <w:pPr>
        <w:pStyle w:val="26"/>
        <w:tabs>
          <w:tab w:val="right" w:leader="dot" w:pos="9060"/>
        </w:tabs>
        <w:rPr>
          <w:rFonts w:hint="eastAsia" w:eastAsiaTheme="minorEastAsia"/>
          <w:smallCaps w:val="0"/>
          <w:color w:val="auto"/>
          <w:sz w:val="22"/>
          <w:szCs w:val="24"/>
          <w14:ligatures w14:val="standardContextual"/>
        </w:rPr>
      </w:pPr>
      <w:r>
        <w:rPr>
          <w:color w:val="auto"/>
        </w:rPr>
        <w:fldChar w:fldCharType="begin"/>
      </w:r>
      <w:r>
        <w:rPr>
          <w:color w:val="auto"/>
        </w:rPr>
        <w:instrText xml:space="preserve"> HYPERLINK \l "_Toc244176418" </w:instrText>
      </w:r>
      <w:r>
        <w:rPr>
          <w:color w:val="auto"/>
        </w:rPr>
        <w:fldChar w:fldCharType="separate"/>
      </w:r>
      <w:r>
        <w:rPr>
          <w:rStyle w:val="38"/>
          <w:rFonts w:ascii="宋体" w:hAnsi="宋体" w:eastAsia="宋体"/>
          <w:b/>
          <w:bCs/>
          <w:color w:val="auto"/>
        </w:rPr>
        <w:t>6.3 验收标准</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_Toc244176418 \h</w:instrText>
      </w:r>
      <w:r>
        <w:rPr>
          <w:rFonts w:hint="eastAsia"/>
          <w:color w:val="auto"/>
        </w:rPr>
        <w:instrText xml:space="preserve"> </w:instrText>
      </w:r>
      <w:r>
        <w:rPr>
          <w:rFonts w:hint="eastAsia"/>
          <w:color w:val="auto"/>
        </w:rPr>
        <w:fldChar w:fldCharType="separate"/>
      </w:r>
      <w:r>
        <w:rPr>
          <w:rFonts w:hint="eastAsia"/>
          <w:color w:val="auto"/>
        </w:rPr>
        <w:t>25</w:t>
      </w:r>
      <w:r>
        <w:rPr>
          <w:rFonts w:hint="eastAsia"/>
          <w:color w:val="auto"/>
        </w:rPr>
        <w:fldChar w:fldCharType="end"/>
      </w:r>
      <w:r>
        <w:rPr>
          <w:rFonts w:hint="eastAsia"/>
          <w:color w:val="auto"/>
        </w:rPr>
        <w:fldChar w:fldCharType="end"/>
      </w:r>
    </w:p>
    <w:p w14:paraId="1C31392A">
      <w:pPr>
        <w:pStyle w:val="22"/>
        <w:tabs>
          <w:tab w:val="right" w:leader="dot" w:pos="9060"/>
        </w:tabs>
        <w:rPr>
          <w:rFonts w:hint="eastAsia" w:eastAsiaTheme="minorEastAsia"/>
          <w:b w:val="0"/>
          <w:bCs w:val="0"/>
          <w:caps w:val="0"/>
          <w:color w:val="auto"/>
          <w:sz w:val="22"/>
          <w:szCs w:val="24"/>
          <w14:ligatures w14:val="standardContextual"/>
        </w:rPr>
      </w:pPr>
      <w:r>
        <w:rPr>
          <w:color w:val="auto"/>
        </w:rPr>
        <w:fldChar w:fldCharType="begin"/>
      </w:r>
      <w:r>
        <w:rPr>
          <w:color w:val="auto"/>
        </w:rPr>
        <w:instrText xml:space="preserve"> HYPERLINK \l "_Toc244176419" </w:instrText>
      </w:r>
      <w:r>
        <w:rPr>
          <w:color w:val="auto"/>
        </w:rPr>
        <w:fldChar w:fldCharType="separate"/>
      </w:r>
      <w:r>
        <w:rPr>
          <w:rStyle w:val="38"/>
          <w:rFonts w:ascii="宋体" w:hAnsi="宋体" w:eastAsia="宋体"/>
          <w:color w:val="auto"/>
        </w:rPr>
        <w:t>七、技术资料交付</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_Toc244176419 \h</w:instrText>
      </w:r>
      <w:r>
        <w:rPr>
          <w:rFonts w:hint="eastAsia"/>
          <w:color w:val="auto"/>
        </w:rPr>
        <w:instrText xml:space="preserve"> </w:instrText>
      </w:r>
      <w:r>
        <w:rPr>
          <w:rFonts w:hint="eastAsia"/>
          <w:color w:val="auto"/>
        </w:rPr>
        <w:fldChar w:fldCharType="separate"/>
      </w:r>
      <w:r>
        <w:rPr>
          <w:rFonts w:hint="eastAsia"/>
          <w:color w:val="auto"/>
        </w:rPr>
        <w:t>26</w:t>
      </w:r>
      <w:r>
        <w:rPr>
          <w:rFonts w:hint="eastAsia"/>
          <w:color w:val="auto"/>
        </w:rPr>
        <w:fldChar w:fldCharType="end"/>
      </w:r>
      <w:r>
        <w:rPr>
          <w:rFonts w:hint="eastAsia"/>
          <w:color w:val="auto"/>
        </w:rPr>
        <w:fldChar w:fldCharType="end"/>
      </w:r>
    </w:p>
    <w:p w14:paraId="276AB994">
      <w:pPr>
        <w:pStyle w:val="22"/>
        <w:tabs>
          <w:tab w:val="right" w:leader="dot" w:pos="9060"/>
        </w:tabs>
        <w:rPr>
          <w:rFonts w:hint="eastAsia" w:eastAsiaTheme="minorEastAsia"/>
          <w:b w:val="0"/>
          <w:bCs w:val="0"/>
          <w:caps w:val="0"/>
          <w:color w:val="auto"/>
          <w:sz w:val="22"/>
          <w:szCs w:val="24"/>
          <w14:ligatures w14:val="standardContextual"/>
        </w:rPr>
      </w:pPr>
      <w:r>
        <w:rPr>
          <w:color w:val="auto"/>
        </w:rPr>
        <w:fldChar w:fldCharType="begin"/>
      </w:r>
      <w:r>
        <w:rPr>
          <w:color w:val="auto"/>
        </w:rPr>
        <w:instrText xml:space="preserve"> HYPERLINK \l "_Toc244176420" </w:instrText>
      </w:r>
      <w:r>
        <w:rPr>
          <w:color w:val="auto"/>
        </w:rPr>
        <w:fldChar w:fldCharType="separate"/>
      </w:r>
      <w:r>
        <w:rPr>
          <w:rStyle w:val="38"/>
          <w:rFonts w:ascii="宋体" w:hAnsi="宋体" w:eastAsia="宋体"/>
          <w:color w:val="auto"/>
        </w:rPr>
        <w:t>八、技术服务、培训与质量保证</w:t>
      </w:r>
      <w:r>
        <w:rPr>
          <w:rFonts w:hint="eastAsia"/>
          <w:color w:val="auto"/>
        </w:rPr>
        <w:tab/>
      </w:r>
      <w:r>
        <w:rPr>
          <w:rFonts w:hint="eastAsia"/>
          <w:color w:val="auto"/>
        </w:rPr>
        <w:fldChar w:fldCharType="begin"/>
      </w:r>
      <w:r>
        <w:rPr>
          <w:rFonts w:hint="eastAsia"/>
          <w:color w:val="auto"/>
        </w:rPr>
        <w:instrText xml:space="preserve"> </w:instrText>
      </w:r>
      <w:r>
        <w:rPr>
          <w:color w:val="auto"/>
        </w:rPr>
        <w:instrText xml:space="preserve">PAGEREF _Toc244176420 \h</w:instrText>
      </w:r>
      <w:r>
        <w:rPr>
          <w:rFonts w:hint="eastAsia"/>
          <w:color w:val="auto"/>
        </w:rPr>
        <w:instrText xml:space="preserve"> </w:instrText>
      </w:r>
      <w:r>
        <w:rPr>
          <w:rFonts w:hint="eastAsia"/>
          <w:color w:val="auto"/>
        </w:rPr>
        <w:fldChar w:fldCharType="separate"/>
      </w:r>
      <w:r>
        <w:rPr>
          <w:rFonts w:hint="eastAsia"/>
          <w:color w:val="auto"/>
        </w:rPr>
        <w:t>26</w:t>
      </w:r>
      <w:r>
        <w:rPr>
          <w:rFonts w:hint="eastAsia"/>
          <w:color w:val="auto"/>
        </w:rPr>
        <w:fldChar w:fldCharType="end"/>
      </w:r>
      <w:r>
        <w:rPr>
          <w:rFonts w:hint="eastAsia"/>
          <w:color w:val="auto"/>
        </w:rPr>
        <w:fldChar w:fldCharType="end"/>
      </w:r>
    </w:p>
    <w:p w14:paraId="50A5FAF3">
      <w:pPr>
        <w:spacing w:before="120" w:after="120" w:line="360" w:lineRule="auto"/>
        <w:jc w:val="left"/>
        <w:rPr>
          <w:rFonts w:hint="eastAsia" w:ascii="宋体" w:hAnsi="宋体" w:eastAsia="宋体"/>
          <w:color w:val="auto"/>
          <w:sz w:val="24"/>
          <w:szCs w:val="24"/>
        </w:rPr>
      </w:pPr>
      <w:r>
        <w:rPr>
          <w:rFonts w:hint="eastAsia" w:ascii="宋体" w:hAnsi="宋体" w:eastAsia="宋体"/>
          <w:color w:val="auto"/>
          <w:sz w:val="24"/>
          <w:szCs w:val="24"/>
        </w:rPr>
        <w:fldChar w:fldCharType="end"/>
      </w:r>
    </w:p>
    <w:p w14:paraId="2F6C669D">
      <w:pPr>
        <w:spacing w:before="120" w:after="120" w:line="360" w:lineRule="auto"/>
        <w:jc w:val="left"/>
        <w:rPr>
          <w:rFonts w:ascii="宋体" w:hAnsi="宋体" w:eastAsia="宋体"/>
          <w:color w:val="auto"/>
          <w:sz w:val="24"/>
          <w:szCs w:val="24"/>
        </w:rPr>
      </w:pPr>
    </w:p>
    <w:p w14:paraId="3B2937E2">
      <w:pPr>
        <w:spacing w:before="120" w:after="120" w:line="360" w:lineRule="auto"/>
        <w:jc w:val="left"/>
        <w:rPr>
          <w:rFonts w:ascii="宋体" w:hAnsi="宋体" w:eastAsia="宋体"/>
          <w:color w:val="auto"/>
          <w:sz w:val="24"/>
          <w:szCs w:val="24"/>
        </w:rPr>
      </w:pPr>
    </w:p>
    <w:p w14:paraId="546D17AB">
      <w:pPr>
        <w:spacing w:before="120" w:after="120" w:line="360" w:lineRule="auto"/>
        <w:jc w:val="left"/>
        <w:rPr>
          <w:rFonts w:ascii="宋体" w:hAnsi="宋体" w:eastAsia="宋体"/>
          <w:color w:val="auto"/>
          <w:sz w:val="24"/>
          <w:szCs w:val="24"/>
        </w:rPr>
      </w:pPr>
    </w:p>
    <w:p w14:paraId="2EC8C4BE">
      <w:pPr>
        <w:spacing w:before="120" w:after="120" w:line="360" w:lineRule="auto"/>
        <w:jc w:val="left"/>
        <w:rPr>
          <w:rFonts w:ascii="宋体" w:hAnsi="宋体" w:eastAsia="宋体"/>
          <w:color w:val="auto"/>
          <w:sz w:val="24"/>
          <w:szCs w:val="24"/>
        </w:rPr>
      </w:pPr>
    </w:p>
    <w:p w14:paraId="4900BCFF">
      <w:pPr>
        <w:spacing w:before="120" w:after="120" w:line="360" w:lineRule="auto"/>
        <w:jc w:val="left"/>
        <w:rPr>
          <w:rFonts w:ascii="宋体" w:hAnsi="宋体" w:eastAsia="宋体"/>
          <w:color w:val="auto"/>
          <w:sz w:val="24"/>
          <w:szCs w:val="24"/>
        </w:rPr>
      </w:pPr>
    </w:p>
    <w:p w14:paraId="14146B24">
      <w:pPr>
        <w:spacing w:before="120" w:after="120" w:line="360" w:lineRule="auto"/>
        <w:jc w:val="left"/>
        <w:rPr>
          <w:rFonts w:hint="eastAsia" w:ascii="宋体" w:hAnsi="宋体" w:eastAsia="宋体"/>
          <w:color w:val="auto"/>
          <w:sz w:val="24"/>
          <w:szCs w:val="24"/>
        </w:rPr>
        <w:sectPr>
          <w:footerReference r:id="rId5" w:type="first"/>
          <w:pgSz w:w="11906" w:h="16838"/>
          <w:pgMar w:top="1418" w:right="1418" w:bottom="1418" w:left="1418" w:header="851" w:footer="992" w:gutter="0"/>
          <w:pgNumType w:start="1"/>
          <w:cols w:space="425" w:num="1"/>
          <w:titlePg/>
          <w:docGrid w:type="lines" w:linePitch="312" w:charSpace="0"/>
        </w:sectPr>
      </w:pPr>
    </w:p>
    <w:p w14:paraId="6B51249B">
      <w:pPr>
        <w:spacing w:before="120" w:after="120" w:line="360" w:lineRule="auto"/>
        <w:jc w:val="left"/>
        <w:outlineLvl w:val="0"/>
        <w:rPr>
          <w:rFonts w:hint="eastAsia" w:ascii="宋体" w:hAnsi="宋体" w:eastAsia="宋体"/>
          <w:b/>
          <w:bCs/>
          <w:color w:val="auto"/>
          <w:sz w:val="30"/>
          <w:szCs w:val="30"/>
        </w:rPr>
      </w:pPr>
      <w:bookmarkStart w:id="0" w:name="_Toc244176378"/>
      <w:bookmarkStart w:id="1" w:name="_Toc244176109"/>
      <w:bookmarkStart w:id="2" w:name="_Toc26468"/>
      <w:r>
        <w:rPr>
          <w:rFonts w:hint="eastAsia" w:ascii="宋体" w:hAnsi="宋体" w:eastAsia="宋体"/>
          <w:b/>
          <w:bCs/>
          <w:color w:val="auto"/>
          <w:sz w:val="30"/>
          <w:szCs w:val="30"/>
        </w:rPr>
        <w:t>一、总则</w:t>
      </w:r>
      <w:bookmarkEnd w:id="0"/>
      <w:bookmarkEnd w:id="1"/>
    </w:p>
    <w:p w14:paraId="22F63317">
      <w:pPr>
        <w:spacing w:before="120" w:after="120" w:line="360" w:lineRule="auto"/>
        <w:jc w:val="left"/>
        <w:outlineLvl w:val="1"/>
        <w:rPr>
          <w:rFonts w:hint="eastAsia" w:ascii="宋体" w:hAnsi="宋体" w:eastAsia="宋体"/>
          <w:b/>
          <w:bCs/>
          <w:color w:val="auto"/>
          <w:sz w:val="28"/>
          <w:szCs w:val="28"/>
        </w:rPr>
      </w:pPr>
      <w:bookmarkStart w:id="3" w:name="_Toc244176379"/>
      <w:bookmarkStart w:id="4" w:name="_Toc244176110"/>
      <w:r>
        <w:rPr>
          <w:rFonts w:hint="eastAsia" w:ascii="宋体" w:hAnsi="宋体" w:eastAsia="宋体"/>
          <w:b/>
          <w:bCs/>
          <w:color w:val="auto"/>
          <w:sz w:val="28"/>
          <w:szCs w:val="28"/>
        </w:rPr>
        <w:t>1.1 引言</w:t>
      </w:r>
      <w:bookmarkEnd w:id="3"/>
      <w:bookmarkEnd w:id="4"/>
    </w:p>
    <w:p w14:paraId="336ADD84">
      <w:pPr>
        <w:spacing w:before="120" w:after="120" w:line="360" w:lineRule="auto"/>
        <w:ind w:firstLine="480" w:firstLineChars="200"/>
        <w:jc w:val="left"/>
        <w:rPr>
          <w:rFonts w:hint="eastAsia" w:ascii="宋体" w:hAnsi="宋体" w:eastAsia="宋体"/>
          <w:color w:val="auto"/>
          <w:sz w:val="24"/>
          <w:szCs w:val="24"/>
        </w:rPr>
      </w:pPr>
      <w:r>
        <w:rPr>
          <w:rFonts w:ascii="宋体" w:hAnsi="宋体" w:eastAsia="宋体"/>
          <w:color w:val="auto"/>
          <w:sz w:val="24"/>
          <w:szCs w:val="24"/>
        </w:rPr>
        <w:t>本规范依据国家、电力行业及网络安全相关标准编制，用于统一本项目智慧用电运维管理系统的技术要求，作为系统设计、软硬件供货、集成实施、联调测试、竣工验收、质保及后期运维的技术依据。</w:t>
      </w:r>
    </w:p>
    <w:p w14:paraId="418207E5">
      <w:pPr>
        <w:spacing w:before="120" w:after="120" w:line="360" w:lineRule="auto"/>
        <w:ind w:firstLine="480" w:firstLineChars="200"/>
        <w:jc w:val="left"/>
        <w:rPr>
          <w:rFonts w:hint="eastAsia" w:ascii="宋体" w:hAnsi="宋体" w:eastAsia="宋体"/>
          <w:color w:val="auto"/>
          <w:sz w:val="24"/>
          <w:szCs w:val="24"/>
        </w:rPr>
      </w:pPr>
      <w:r>
        <w:rPr>
          <w:rFonts w:hint="eastAsia" w:ascii="宋体" w:hAnsi="宋体" w:eastAsia="宋体"/>
          <w:color w:val="auto"/>
          <w:sz w:val="24"/>
          <w:szCs w:val="24"/>
        </w:rPr>
        <w:t>本规范提出了</w:t>
      </w:r>
      <w:r>
        <w:rPr>
          <w:rFonts w:ascii="宋体" w:hAnsi="宋体" w:eastAsia="宋体"/>
          <w:color w:val="auto"/>
          <w:sz w:val="24"/>
          <w:szCs w:val="24"/>
        </w:rPr>
        <w:t>本项目范围内配电室、低压配电回路、末端用电回路的智慧用电运维管理系统建设、改造、集成与验收</w:t>
      </w:r>
      <w:r>
        <w:rPr>
          <w:rFonts w:hint="eastAsia" w:ascii="宋体" w:hAnsi="宋体" w:eastAsia="宋体"/>
          <w:color w:val="auto"/>
          <w:sz w:val="24"/>
          <w:szCs w:val="24"/>
        </w:rPr>
        <w:t>等。</w:t>
      </w:r>
    </w:p>
    <w:p w14:paraId="3475AD6A">
      <w:pPr>
        <w:spacing w:before="120" w:after="120" w:line="360" w:lineRule="auto"/>
        <w:ind w:firstLine="480" w:firstLineChars="200"/>
        <w:jc w:val="left"/>
        <w:rPr>
          <w:rFonts w:hint="eastAsia" w:ascii="宋体" w:hAnsi="宋体" w:eastAsia="宋体"/>
          <w:color w:val="auto"/>
          <w:sz w:val="24"/>
          <w:szCs w:val="24"/>
        </w:rPr>
      </w:pPr>
      <w:r>
        <w:rPr>
          <w:rFonts w:hint="eastAsia" w:ascii="宋体" w:hAnsi="宋体" w:eastAsia="宋体"/>
          <w:color w:val="auto"/>
          <w:sz w:val="24"/>
          <w:szCs w:val="24"/>
        </w:rPr>
        <w:t>本规范提出的是最低限度的要求，并未对一切技术细节作出规定，也未充分引述有关标准和规范的条文，投标方应提供符合本规范和工业标准的优质产品。</w:t>
      </w:r>
    </w:p>
    <w:p w14:paraId="218A9174">
      <w:pPr>
        <w:spacing w:before="120" w:after="120" w:line="360" w:lineRule="auto"/>
        <w:ind w:firstLine="480" w:firstLineChars="200"/>
        <w:jc w:val="left"/>
        <w:rPr>
          <w:rFonts w:hint="eastAsia" w:ascii="宋体" w:hAnsi="宋体" w:eastAsia="宋体"/>
          <w:color w:val="auto"/>
          <w:sz w:val="24"/>
          <w:szCs w:val="24"/>
        </w:rPr>
      </w:pPr>
      <w:r>
        <w:rPr>
          <w:rFonts w:hint="eastAsia" w:ascii="宋体" w:hAnsi="宋体" w:eastAsia="宋体"/>
          <w:color w:val="auto"/>
          <w:sz w:val="24"/>
          <w:szCs w:val="24"/>
        </w:rPr>
        <w:t>如果投标方没有以书面形式对本规范的条文提出异议，则表示投标方提供的设备完全符合本规范的要求；如有异议，应在报价书中以“对规范的意见和同规范的差异”为标题的专门章节中加以详细描述。</w:t>
      </w:r>
    </w:p>
    <w:p w14:paraId="5BFACFBA">
      <w:pPr>
        <w:spacing w:before="120" w:after="120" w:line="360" w:lineRule="auto"/>
        <w:ind w:firstLine="480" w:firstLineChars="200"/>
        <w:jc w:val="left"/>
        <w:rPr>
          <w:rFonts w:hint="eastAsia" w:ascii="宋体" w:hAnsi="宋体" w:eastAsia="宋体"/>
          <w:color w:val="auto"/>
          <w:sz w:val="24"/>
          <w:szCs w:val="24"/>
        </w:rPr>
      </w:pPr>
      <w:r>
        <w:rPr>
          <w:rFonts w:hint="eastAsia" w:ascii="宋体" w:hAnsi="宋体" w:eastAsia="宋体"/>
          <w:color w:val="auto"/>
          <w:sz w:val="24"/>
          <w:szCs w:val="24"/>
        </w:rPr>
        <w:t>本规范所使用的标准如遇与投标方所执行的标准不一致按较高的标准执行。</w:t>
      </w:r>
    </w:p>
    <w:p w14:paraId="40000270">
      <w:pPr>
        <w:spacing w:before="120" w:after="120" w:line="360" w:lineRule="auto"/>
        <w:ind w:firstLine="480" w:firstLineChars="200"/>
        <w:jc w:val="left"/>
        <w:rPr>
          <w:rFonts w:hint="eastAsia" w:ascii="宋体" w:hAnsi="宋体" w:eastAsia="宋体"/>
          <w:color w:val="auto"/>
          <w:sz w:val="24"/>
          <w:szCs w:val="24"/>
        </w:rPr>
      </w:pPr>
      <w:r>
        <w:rPr>
          <w:rFonts w:hint="eastAsia" w:ascii="宋体" w:hAnsi="宋体" w:eastAsia="宋体"/>
          <w:color w:val="auto"/>
          <w:sz w:val="24"/>
          <w:szCs w:val="24"/>
        </w:rPr>
        <w:t>本规范经招、投标双方确认后作为订货合同的技术附件，与合同正文具有同等效力。</w:t>
      </w:r>
    </w:p>
    <w:p w14:paraId="5B6A63CB">
      <w:pPr>
        <w:spacing w:before="120" w:after="120" w:line="360" w:lineRule="auto"/>
        <w:jc w:val="left"/>
        <w:outlineLvl w:val="1"/>
        <w:rPr>
          <w:rFonts w:hint="eastAsia" w:ascii="宋体" w:hAnsi="宋体" w:eastAsia="宋体"/>
          <w:b/>
          <w:bCs/>
          <w:color w:val="auto"/>
          <w:sz w:val="28"/>
          <w:szCs w:val="28"/>
        </w:rPr>
      </w:pPr>
      <w:bookmarkStart w:id="5" w:name="_Toc244176111"/>
      <w:bookmarkStart w:id="6" w:name="_Toc244176380"/>
      <w:r>
        <w:rPr>
          <w:rFonts w:hint="eastAsia" w:ascii="宋体" w:hAnsi="宋体" w:eastAsia="宋体"/>
          <w:b/>
          <w:bCs/>
          <w:color w:val="auto"/>
          <w:sz w:val="28"/>
          <w:szCs w:val="28"/>
        </w:rPr>
        <w:t>1.2　供方职责</w:t>
      </w:r>
      <w:bookmarkEnd w:id="5"/>
      <w:bookmarkEnd w:id="6"/>
    </w:p>
    <w:p w14:paraId="1B834C2C">
      <w:pPr>
        <w:spacing w:before="120" w:after="120" w:line="360" w:lineRule="auto"/>
        <w:ind w:firstLine="480" w:firstLineChars="200"/>
        <w:jc w:val="left"/>
        <w:rPr>
          <w:rFonts w:hint="eastAsia" w:ascii="宋体" w:hAnsi="宋体" w:eastAsia="宋体"/>
          <w:color w:val="auto"/>
          <w:sz w:val="24"/>
          <w:szCs w:val="24"/>
        </w:rPr>
      </w:pPr>
      <w:r>
        <w:rPr>
          <w:rFonts w:hint="eastAsia" w:ascii="宋体" w:hAnsi="宋体" w:eastAsia="宋体"/>
          <w:color w:val="auto"/>
          <w:sz w:val="24"/>
          <w:szCs w:val="24"/>
        </w:rPr>
        <w:t>供方的工作范围将包括但不限于下列内容：</w:t>
      </w:r>
    </w:p>
    <w:p w14:paraId="69A5E49F">
      <w:pPr>
        <w:spacing w:before="120" w:after="120" w:line="360" w:lineRule="auto"/>
        <w:ind w:firstLine="480" w:firstLineChars="200"/>
        <w:jc w:val="left"/>
        <w:rPr>
          <w:rFonts w:hint="eastAsia" w:ascii="宋体" w:hAnsi="宋体" w:eastAsia="宋体"/>
          <w:color w:val="auto"/>
          <w:sz w:val="24"/>
          <w:szCs w:val="24"/>
        </w:rPr>
      </w:pPr>
      <w:r>
        <w:rPr>
          <w:rFonts w:hint="eastAsia" w:ascii="宋体" w:hAnsi="宋体" w:eastAsia="宋体"/>
          <w:color w:val="auto"/>
          <w:sz w:val="24"/>
          <w:szCs w:val="24"/>
        </w:rPr>
        <w:t>1. 负责智慧用电运维管理系统全套软硬件供货、方案设计、软件开发、集成调试、联调测试工作；</w:t>
      </w:r>
    </w:p>
    <w:p w14:paraId="1C40868C">
      <w:pPr>
        <w:spacing w:before="120" w:after="120" w:line="360" w:lineRule="auto"/>
        <w:ind w:firstLine="480" w:firstLineChars="200"/>
        <w:jc w:val="left"/>
        <w:rPr>
          <w:rFonts w:hint="eastAsia" w:ascii="宋体" w:hAnsi="宋体" w:eastAsia="宋体"/>
          <w:color w:val="auto"/>
          <w:sz w:val="24"/>
          <w:szCs w:val="24"/>
        </w:rPr>
      </w:pPr>
      <w:r>
        <w:rPr>
          <w:rFonts w:hint="eastAsia" w:ascii="宋体" w:hAnsi="宋体" w:eastAsia="宋体"/>
          <w:color w:val="auto"/>
          <w:sz w:val="24"/>
          <w:szCs w:val="24"/>
        </w:rPr>
        <w:t>2. 负责系统数据对接，保障数据采集、上传、告警正常；</w:t>
      </w:r>
    </w:p>
    <w:p w14:paraId="72767A14">
      <w:pPr>
        <w:spacing w:before="120" w:after="120" w:line="360" w:lineRule="auto"/>
        <w:ind w:firstLine="480" w:firstLineChars="200"/>
        <w:jc w:val="left"/>
        <w:rPr>
          <w:rFonts w:hint="eastAsia" w:ascii="宋体" w:hAnsi="宋体" w:eastAsia="宋体"/>
          <w:color w:val="auto"/>
          <w:sz w:val="24"/>
          <w:szCs w:val="24"/>
        </w:rPr>
      </w:pPr>
      <w:r>
        <w:rPr>
          <w:rFonts w:hint="eastAsia" w:ascii="宋体" w:hAnsi="宋体" w:eastAsia="宋体"/>
          <w:color w:val="auto"/>
          <w:sz w:val="24"/>
          <w:szCs w:val="24"/>
        </w:rPr>
        <w:t>3. 负责提供全套技术资料、图纸、操作及维护文档，开展运维培训；</w:t>
      </w:r>
    </w:p>
    <w:p w14:paraId="46364D92">
      <w:pPr>
        <w:spacing w:before="120" w:after="120" w:line="360" w:lineRule="auto"/>
        <w:ind w:firstLine="480" w:firstLineChars="200"/>
        <w:jc w:val="left"/>
        <w:rPr>
          <w:rFonts w:hint="eastAsia" w:ascii="宋体" w:hAnsi="宋体" w:eastAsia="宋体"/>
          <w:color w:val="auto"/>
          <w:sz w:val="24"/>
          <w:szCs w:val="24"/>
        </w:rPr>
      </w:pPr>
      <w:r>
        <w:rPr>
          <w:rFonts w:hint="eastAsia" w:ascii="宋体" w:hAnsi="宋体" w:eastAsia="宋体"/>
          <w:color w:val="auto"/>
          <w:sz w:val="24"/>
          <w:szCs w:val="24"/>
        </w:rPr>
        <w:t>4. 配合需方完成各阶段验收，对系统整体质量、稳定性、数据准确性负责；</w:t>
      </w:r>
    </w:p>
    <w:p w14:paraId="2C4AC111">
      <w:pPr>
        <w:spacing w:before="120" w:after="120" w:line="360" w:lineRule="auto"/>
        <w:ind w:firstLine="480" w:firstLineChars="200"/>
        <w:jc w:val="left"/>
        <w:rPr>
          <w:rFonts w:hint="eastAsia" w:ascii="宋体" w:hAnsi="宋体" w:eastAsia="宋体"/>
          <w:color w:val="auto"/>
          <w:sz w:val="24"/>
          <w:szCs w:val="24"/>
        </w:rPr>
      </w:pPr>
      <w:r>
        <w:rPr>
          <w:rFonts w:hint="eastAsia" w:ascii="宋体" w:hAnsi="宋体" w:eastAsia="宋体"/>
          <w:color w:val="auto"/>
          <w:sz w:val="24"/>
          <w:szCs w:val="24"/>
        </w:rPr>
        <w:t>5. 按合同约定提供质保服务、故障响应、技术支持，保障系统持续可用；</w:t>
      </w:r>
    </w:p>
    <w:p w14:paraId="6AE4C155">
      <w:pPr>
        <w:spacing w:before="120" w:after="120" w:line="360" w:lineRule="auto"/>
        <w:ind w:firstLine="480" w:firstLineChars="200"/>
        <w:jc w:val="left"/>
        <w:rPr>
          <w:rFonts w:hint="eastAsia" w:ascii="宋体" w:hAnsi="宋体" w:eastAsia="宋体"/>
          <w:color w:val="auto"/>
          <w:sz w:val="24"/>
          <w:szCs w:val="24"/>
        </w:rPr>
      </w:pPr>
      <w:r>
        <w:rPr>
          <w:rFonts w:hint="eastAsia" w:ascii="宋体" w:hAnsi="宋体" w:eastAsia="宋体"/>
          <w:color w:val="auto"/>
          <w:sz w:val="24"/>
          <w:szCs w:val="24"/>
        </w:rPr>
        <w:t>6. 承担产品知识产权责任，确保无侵权。</w:t>
      </w:r>
    </w:p>
    <w:bookmarkEnd w:id="2"/>
    <w:p w14:paraId="59BD041C">
      <w:pPr>
        <w:spacing w:before="120" w:after="120" w:line="360" w:lineRule="auto"/>
        <w:jc w:val="left"/>
        <w:outlineLvl w:val="0"/>
        <w:rPr>
          <w:rFonts w:hint="eastAsia" w:ascii="宋体" w:hAnsi="宋体" w:eastAsia="宋体"/>
          <w:b/>
          <w:bCs/>
          <w:color w:val="auto"/>
          <w:sz w:val="30"/>
          <w:szCs w:val="30"/>
        </w:rPr>
      </w:pPr>
      <w:bookmarkStart w:id="7" w:name="_Toc244176381"/>
      <w:bookmarkStart w:id="8" w:name="_Toc244176112"/>
      <w:r>
        <w:rPr>
          <w:rFonts w:hint="eastAsia" w:ascii="宋体" w:hAnsi="宋体" w:eastAsia="宋体"/>
          <w:b/>
          <w:bCs/>
          <w:color w:val="auto"/>
          <w:sz w:val="30"/>
          <w:szCs w:val="30"/>
        </w:rPr>
        <w:t>二、项目现状</w:t>
      </w:r>
      <w:bookmarkEnd w:id="7"/>
      <w:bookmarkEnd w:id="8"/>
    </w:p>
    <w:p w14:paraId="15937D42">
      <w:pPr>
        <w:spacing w:before="120" w:after="120" w:line="360" w:lineRule="auto"/>
        <w:jc w:val="left"/>
        <w:outlineLvl w:val="1"/>
        <w:rPr>
          <w:rFonts w:hint="eastAsia" w:ascii="宋体" w:hAnsi="宋体" w:eastAsia="宋体"/>
          <w:b/>
          <w:bCs/>
          <w:color w:val="auto"/>
          <w:sz w:val="28"/>
          <w:szCs w:val="28"/>
        </w:rPr>
      </w:pPr>
      <w:bookmarkStart w:id="9" w:name="_Toc244176113"/>
      <w:bookmarkStart w:id="10" w:name="_Toc244176382"/>
      <w:r>
        <w:rPr>
          <w:rFonts w:hint="eastAsia" w:ascii="宋体" w:hAnsi="宋体" w:eastAsia="宋体"/>
          <w:b/>
          <w:bCs/>
          <w:color w:val="auto"/>
          <w:sz w:val="28"/>
          <w:szCs w:val="28"/>
        </w:rPr>
        <w:t>2.1 配电室</w:t>
      </w:r>
      <w:r>
        <w:rPr>
          <w:rFonts w:ascii="宋体" w:hAnsi="宋体" w:eastAsia="宋体"/>
          <w:b/>
          <w:bCs/>
          <w:color w:val="auto"/>
          <w:sz w:val="28"/>
          <w:szCs w:val="28"/>
        </w:rPr>
        <w:t>概况</w:t>
      </w:r>
      <w:bookmarkEnd w:id="9"/>
      <w:bookmarkEnd w:id="10"/>
    </w:p>
    <w:p w14:paraId="356F20AD">
      <w:pPr>
        <w:spacing w:before="120" w:after="120" w:line="360" w:lineRule="auto"/>
        <w:ind w:firstLine="480" w:firstLineChars="200"/>
        <w:jc w:val="left"/>
        <w:rPr>
          <w:rFonts w:hint="eastAsia" w:ascii="宋体" w:hAnsi="宋体" w:eastAsia="宋体"/>
          <w:color w:val="auto"/>
          <w:sz w:val="24"/>
          <w:szCs w:val="24"/>
        </w:rPr>
      </w:pPr>
      <w:r>
        <w:rPr>
          <w:rFonts w:hint="eastAsia" w:ascii="宋体" w:hAnsi="宋体" w:eastAsia="宋体"/>
          <w:color w:val="auto"/>
          <w:sz w:val="24"/>
          <w:szCs w:val="24"/>
        </w:rPr>
        <w:t>成都八一骨科</w:t>
      </w:r>
      <w:r>
        <w:rPr>
          <w:rFonts w:ascii="宋体" w:hAnsi="宋体" w:eastAsia="宋体"/>
          <w:color w:val="auto"/>
          <w:sz w:val="24"/>
          <w:szCs w:val="24"/>
        </w:rPr>
        <w:t>医院（</w:t>
      </w:r>
      <w:r>
        <w:rPr>
          <w:rFonts w:hint="eastAsia" w:ascii="宋体" w:hAnsi="宋体" w:eastAsia="宋体"/>
          <w:color w:val="auto"/>
          <w:sz w:val="24"/>
          <w:szCs w:val="24"/>
        </w:rPr>
        <w:t>青羊区</w:t>
      </w:r>
      <w:r>
        <w:rPr>
          <w:rFonts w:ascii="宋体" w:hAnsi="宋体" w:eastAsia="宋体"/>
          <w:color w:val="auto"/>
          <w:sz w:val="24"/>
          <w:szCs w:val="24"/>
        </w:rPr>
        <w:t>院区）</w:t>
      </w:r>
      <w:r>
        <w:rPr>
          <w:rFonts w:hint="eastAsia" w:ascii="宋体" w:hAnsi="宋体" w:eastAsia="宋体"/>
          <w:color w:val="auto"/>
          <w:sz w:val="24"/>
          <w:szCs w:val="24"/>
        </w:rPr>
        <w:t>从市政</w:t>
      </w:r>
      <w:r>
        <w:rPr>
          <w:rFonts w:ascii="宋体" w:hAnsi="宋体" w:eastAsia="宋体"/>
          <w:color w:val="auto"/>
          <w:sz w:val="24"/>
          <w:szCs w:val="24"/>
        </w:rPr>
        <w:t>引入</w:t>
      </w:r>
      <w:r>
        <w:rPr>
          <w:rFonts w:hint="eastAsia" w:ascii="宋体" w:hAnsi="宋体" w:eastAsia="宋体"/>
          <w:color w:val="auto"/>
          <w:sz w:val="24"/>
          <w:szCs w:val="24"/>
        </w:rPr>
        <w:t>1路10</w:t>
      </w:r>
      <w:r>
        <w:rPr>
          <w:rFonts w:ascii="宋体" w:hAnsi="宋体" w:eastAsia="宋体"/>
          <w:color w:val="auto"/>
          <w:sz w:val="24"/>
          <w:szCs w:val="24"/>
        </w:rPr>
        <w:t>kV市电电源</w:t>
      </w:r>
      <w:r>
        <w:rPr>
          <w:rFonts w:hint="eastAsia" w:ascii="宋体" w:hAnsi="宋体" w:eastAsia="宋体"/>
          <w:color w:val="auto"/>
          <w:sz w:val="24"/>
          <w:szCs w:val="24"/>
        </w:rPr>
        <w:t>，</w:t>
      </w:r>
      <w:r>
        <w:rPr>
          <w:rFonts w:ascii="宋体" w:hAnsi="宋体" w:eastAsia="宋体"/>
          <w:color w:val="auto"/>
          <w:sz w:val="24"/>
          <w:szCs w:val="24"/>
        </w:rPr>
        <w:t>接入院区</w:t>
      </w:r>
      <w:r>
        <w:rPr>
          <w:rFonts w:hint="eastAsia" w:ascii="宋体" w:hAnsi="宋体" w:eastAsia="宋体"/>
          <w:color w:val="auto"/>
          <w:sz w:val="24"/>
          <w:szCs w:val="24"/>
        </w:rPr>
        <w:t>10</w:t>
      </w:r>
      <w:r>
        <w:rPr>
          <w:rFonts w:ascii="宋体" w:hAnsi="宋体" w:eastAsia="宋体"/>
          <w:color w:val="auto"/>
          <w:sz w:val="24"/>
          <w:szCs w:val="24"/>
        </w:rPr>
        <w:t>kV配电室。</w:t>
      </w:r>
      <w:r>
        <w:rPr>
          <w:rFonts w:hint="eastAsia" w:ascii="宋体" w:hAnsi="宋体" w:eastAsia="宋体"/>
          <w:color w:val="auto"/>
          <w:sz w:val="24"/>
          <w:szCs w:val="24"/>
        </w:rPr>
        <w:t>配电室</w:t>
      </w:r>
      <w:r>
        <w:rPr>
          <w:rFonts w:ascii="宋体" w:hAnsi="宋体" w:eastAsia="宋体"/>
          <w:color w:val="auto"/>
          <w:sz w:val="24"/>
          <w:szCs w:val="24"/>
        </w:rPr>
        <w:t>内配置</w:t>
      </w:r>
      <w:r>
        <w:rPr>
          <w:rFonts w:hint="eastAsia" w:ascii="宋体" w:hAnsi="宋体" w:eastAsia="宋体"/>
          <w:color w:val="auto"/>
          <w:sz w:val="24"/>
          <w:szCs w:val="24"/>
        </w:rPr>
        <w:t>630k</w:t>
      </w:r>
      <w:r>
        <w:rPr>
          <w:rFonts w:ascii="宋体" w:hAnsi="宋体" w:eastAsia="宋体"/>
          <w:color w:val="auto"/>
          <w:sz w:val="24"/>
          <w:szCs w:val="24"/>
        </w:rPr>
        <w:t>VA</w:t>
      </w:r>
      <w:r>
        <w:rPr>
          <w:rFonts w:hint="eastAsia" w:ascii="宋体" w:hAnsi="宋体" w:eastAsia="宋体"/>
          <w:color w:val="auto"/>
          <w:sz w:val="24"/>
          <w:szCs w:val="24"/>
        </w:rPr>
        <w:t>、500</w:t>
      </w:r>
      <w:r>
        <w:rPr>
          <w:rFonts w:ascii="宋体" w:hAnsi="宋体" w:eastAsia="宋体"/>
          <w:color w:val="auto"/>
          <w:sz w:val="24"/>
          <w:szCs w:val="24"/>
        </w:rPr>
        <w:t>kVA干式变压器各一台。</w:t>
      </w:r>
      <w:r>
        <w:rPr>
          <w:rFonts w:hint="eastAsia" w:ascii="宋体" w:hAnsi="宋体" w:eastAsia="宋体"/>
          <w:color w:val="auto"/>
          <w:sz w:val="24"/>
          <w:szCs w:val="24"/>
        </w:rPr>
        <w:t>低压侧</w:t>
      </w:r>
      <w:r>
        <w:rPr>
          <w:rFonts w:ascii="宋体" w:hAnsi="宋体" w:eastAsia="宋体"/>
          <w:color w:val="auto"/>
          <w:sz w:val="24"/>
          <w:szCs w:val="24"/>
        </w:rPr>
        <w:t>分多路出</w:t>
      </w:r>
      <w:r>
        <w:rPr>
          <w:rFonts w:hint="eastAsia" w:ascii="宋体" w:hAnsi="宋体" w:eastAsia="宋体"/>
          <w:color w:val="auto"/>
          <w:sz w:val="24"/>
          <w:szCs w:val="24"/>
        </w:rPr>
        <w:t>线</w:t>
      </w:r>
      <w:r>
        <w:rPr>
          <w:rFonts w:ascii="宋体" w:hAnsi="宋体" w:eastAsia="宋体"/>
          <w:color w:val="auto"/>
          <w:sz w:val="24"/>
          <w:szCs w:val="24"/>
        </w:rPr>
        <w:t>，</w:t>
      </w:r>
      <w:r>
        <w:rPr>
          <w:rFonts w:hint="eastAsia" w:ascii="宋体" w:hAnsi="宋体" w:eastAsia="宋体"/>
          <w:color w:val="auto"/>
          <w:sz w:val="24"/>
          <w:szCs w:val="24"/>
        </w:rPr>
        <w:t>釆用区域配电箱统一配电，</w:t>
      </w:r>
      <w:r>
        <w:rPr>
          <w:rFonts w:ascii="宋体" w:hAnsi="宋体" w:eastAsia="宋体"/>
          <w:color w:val="auto"/>
          <w:sz w:val="24"/>
          <w:szCs w:val="24"/>
        </w:rPr>
        <w:t>覆盖</w:t>
      </w:r>
      <w:r>
        <w:rPr>
          <w:rFonts w:hint="eastAsia" w:ascii="宋体" w:hAnsi="宋体" w:eastAsia="宋体"/>
          <w:color w:val="auto"/>
          <w:sz w:val="24"/>
          <w:szCs w:val="24"/>
        </w:rPr>
        <w:t>1#门诊</w:t>
      </w:r>
      <w:r>
        <w:rPr>
          <w:rFonts w:ascii="宋体" w:hAnsi="宋体" w:eastAsia="宋体"/>
          <w:color w:val="auto"/>
          <w:sz w:val="24"/>
          <w:szCs w:val="24"/>
        </w:rPr>
        <w:t>主楼，</w:t>
      </w:r>
      <w:r>
        <w:rPr>
          <w:rFonts w:hint="eastAsia" w:ascii="宋体" w:hAnsi="宋体" w:eastAsia="宋体"/>
          <w:color w:val="auto"/>
          <w:sz w:val="24"/>
          <w:szCs w:val="24"/>
        </w:rPr>
        <w:t>2#楼，3#楼</w:t>
      </w:r>
      <w:r>
        <w:rPr>
          <w:rFonts w:ascii="宋体" w:hAnsi="宋体" w:eastAsia="宋体"/>
          <w:color w:val="auto"/>
          <w:sz w:val="24"/>
          <w:szCs w:val="24"/>
        </w:rPr>
        <w:t>以及</w:t>
      </w:r>
      <w:r>
        <w:rPr>
          <w:rFonts w:hint="eastAsia" w:ascii="宋体" w:hAnsi="宋体" w:eastAsia="宋体"/>
          <w:color w:val="auto"/>
          <w:sz w:val="24"/>
          <w:szCs w:val="24"/>
        </w:rPr>
        <w:t>院区</w:t>
      </w:r>
      <w:r>
        <w:rPr>
          <w:rFonts w:ascii="宋体" w:hAnsi="宋体" w:eastAsia="宋体"/>
          <w:color w:val="auto"/>
          <w:sz w:val="24"/>
          <w:szCs w:val="24"/>
        </w:rPr>
        <w:t>内外停车场</w:t>
      </w:r>
      <w:r>
        <w:rPr>
          <w:rFonts w:hint="eastAsia" w:ascii="宋体" w:hAnsi="宋体" w:eastAsia="宋体"/>
          <w:color w:val="auto"/>
          <w:sz w:val="24"/>
          <w:szCs w:val="24"/>
        </w:rPr>
        <w:t>等。</w:t>
      </w:r>
    </w:p>
    <w:p w14:paraId="02F3F894">
      <w:pPr>
        <w:spacing w:before="120" w:after="120" w:line="360" w:lineRule="auto"/>
        <w:jc w:val="left"/>
        <w:rPr>
          <w:rFonts w:hint="eastAsia" w:ascii="宋体" w:hAnsi="宋体" w:eastAsia="宋体"/>
          <w:color w:val="auto"/>
          <w:sz w:val="24"/>
          <w:szCs w:val="24"/>
        </w:rPr>
      </w:pPr>
      <w:r>
        <w:rPr>
          <w:rFonts w:hint="eastAsia" w:ascii="宋体" w:hAnsi="宋体" w:eastAsia="宋体"/>
          <w:color w:val="auto"/>
          <w:sz w:val="24"/>
          <w:szCs w:val="24"/>
        </w:rPr>
        <w:t>（1）目前采用的是指针式仪表，</w:t>
      </w:r>
      <w:r>
        <w:rPr>
          <w:rFonts w:ascii="宋体" w:hAnsi="宋体" w:eastAsia="宋体"/>
          <w:color w:val="auto"/>
          <w:sz w:val="24"/>
          <w:szCs w:val="24"/>
        </w:rPr>
        <w:t>未实现电流、电压等电气参数的自动化采集</w:t>
      </w:r>
      <w:r>
        <w:rPr>
          <w:rFonts w:hint="eastAsia" w:ascii="宋体" w:hAnsi="宋体" w:eastAsia="宋体"/>
          <w:color w:val="auto"/>
          <w:sz w:val="24"/>
          <w:szCs w:val="24"/>
        </w:rPr>
        <w:t>。</w:t>
      </w:r>
    </w:p>
    <w:p w14:paraId="1D5FFF18">
      <w:pPr>
        <w:spacing w:before="120" w:after="120" w:line="360" w:lineRule="auto"/>
        <w:jc w:val="center"/>
        <w:rPr>
          <w:rFonts w:hint="eastAsia" w:ascii="宋体" w:hAnsi="宋体" w:eastAsia="宋体"/>
          <w:color w:val="auto"/>
          <w:sz w:val="24"/>
          <w:szCs w:val="24"/>
        </w:rPr>
      </w:pPr>
      <w:r>
        <w:rPr>
          <w:rFonts w:ascii="宋体" w:hAnsi="宋体" w:eastAsia="宋体"/>
          <w:color w:val="auto"/>
          <w:sz w:val="24"/>
          <w:szCs w:val="24"/>
        </w:rPr>
        <w:drawing>
          <wp:inline distT="0" distB="0" distL="0" distR="0">
            <wp:extent cx="2415540" cy="1811020"/>
            <wp:effectExtent l="0" t="0" r="3810" b="0"/>
            <wp:docPr id="2" name="图片 2" descr="C:\Users\admin\xwechat_files\wxid_4zz0hbrxt8sy22_4528\temp\RWTemp\2026-10\41f646ebcb5b9673e2687d0f72af17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xwechat_files\wxid_4zz0hbrxt8sy22_4528\temp\RWTemp\2026-10\41f646ebcb5b9673e2687d0f72af172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419144" cy="1814004"/>
                    </a:xfrm>
                    <a:prstGeom prst="rect">
                      <a:avLst/>
                    </a:prstGeom>
                    <a:noFill/>
                    <a:ln>
                      <a:noFill/>
                    </a:ln>
                  </pic:spPr>
                </pic:pic>
              </a:graphicData>
            </a:graphic>
          </wp:inline>
        </w:drawing>
      </w:r>
    </w:p>
    <w:p w14:paraId="4F743461">
      <w:pPr>
        <w:spacing w:before="120" w:after="120" w:line="360" w:lineRule="auto"/>
        <w:jc w:val="left"/>
        <w:rPr>
          <w:rFonts w:hint="eastAsia" w:ascii="宋体" w:hAnsi="宋体" w:eastAsia="宋体"/>
          <w:color w:val="auto"/>
          <w:sz w:val="24"/>
          <w:szCs w:val="24"/>
        </w:rPr>
      </w:pPr>
      <w:r>
        <w:rPr>
          <w:rFonts w:hint="eastAsia" w:ascii="宋体" w:hAnsi="宋体" w:eastAsia="宋体"/>
          <w:color w:val="auto"/>
          <w:sz w:val="24"/>
          <w:szCs w:val="24"/>
        </w:rPr>
        <w:t>（2）主</w:t>
      </w:r>
      <w:r>
        <w:rPr>
          <w:rFonts w:ascii="宋体" w:hAnsi="宋体" w:eastAsia="宋体"/>
          <w:color w:val="auto"/>
          <w:sz w:val="24"/>
          <w:szCs w:val="24"/>
        </w:rPr>
        <w:t>变压器</w:t>
      </w:r>
      <w:r>
        <w:rPr>
          <w:rFonts w:hint="eastAsia" w:ascii="宋体" w:hAnsi="宋体" w:eastAsia="宋体"/>
          <w:color w:val="auto"/>
          <w:sz w:val="24"/>
          <w:szCs w:val="24"/>
        </w:rPr>
        <w:t>的</w:t>
      </w:r>
      <w:r>
        <w:rPr>
          <w:rFonts w:ascii="宋体" w:hAnsi="宋体" w:eastAsia="宋体"/>
          <w:color w:val="auto"/>
          <w:sz w:val="24"/>
          <w:szCs w:val="24"/>
        </w:rPr>
        <w:t>温度、</w:t>
      </w:r>
      <w:r>
        <w:rPr>
          <w:rFonts w:hint="eastAsia" w:ascii="宋体" w:hAnsi="宋体" w:eastAsia="宋体"/>
          <w:color w:val="auto"/>
          <w:sz w:val="24"/>
          <w:szCs w:val="24"/>
        </w:rPr>
        <w:t>运行</w:t>
      </w:r>
      <w:r>
        <w:rPr>
          <w:rFonts w:ascii="宋体" w:hAnsi="宋体" w:eastAsia="宋体"/>
          <w:color w:val="auto"/>
          <w:sz w:val="24"/>
          <w:szCs w:val="24"/>
        </w:rPr>
        <w:t>负荷等重要信息</w:t>
      </w:r>
      <w:r>
        <w:rPr>
          <w:rFonts w:hint="eastAsia" w:ascii="宋体" w:hAnsi="宋体" w:eastAsia="宋体"/>
          <w:color w:val="auto"/>
          <w:sz w:val="24"/>
          <w:szCs w:val="24"/>
        </w:rPr>
        <w:t>均未实现</w:t>
      </w:r>
      <w:r>
        <w:rPr>
          <w:rFonts w:ascii="宋体" w:hAnsi="宋体" w:eastAsia="宋体"/>
          <w:color w:val="auto"/>
          <w:sz w:val="24"/>
          <w:szCs w:val="24"/>
        </w:rPr>
        <w:t>自动采集</w:t>
      </w:r>
      <w:r>
        <w:rPr>
          <w:rFonts w:hint="eastAsia" w:ascii="宋体" w:hAnsi="宋体" w:eastAsia="宋体"/>
          <w:color w:val="auto"/>
          <w:sz w:val="24"/>
          <w:szCs w:val="24"/>
        </w:rPr>
        <w:t>和数据上传。</w:t>
      </w:r>
    </w:p>
    <w:p w14:paraId="26BE8D53">
      <w:pPr>
        <w:spacing w:before="120" w:after="120" w:line="360" w:lineRule="auto"/>
        <w:jc w:val="center"/>
        <w:rPr>
          <w:rFonts w:hint="eastAsia" w:ascii="宋体" w:hAnsi="宋体" w:eastAsia="宋体"/>
          <w:color w:val="auto"/>
          <w:sz w:val="24"/>
          <w:szCs w:val="24"/>
        </w:rPr>
      </w:pPr>
      <w:r>
        <w:rPr>
          <w:color w:val="auto"/>
        </w:rPr>
        <w:drawing>
          <wp:inline distT="0" distB="0" distL="0" distR="0">
            <wp:extent cx="3337560" cy="292290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1"/>
                    <a:srcRect t="35795"/>
                    <a:stretch>
                      <a:fillRect/>
                    </a:stretch>
                  </pic:blipFill>
                  <pic:spPr>
                    <a:xfrm>
                      <a:off x="0" y="0"/>
                      <a:ext cx="3343681" cy="2928641"/>
                    </a:xfrm>
                    <a:prstGeom prst="rect">
                      <a:avLst/>
                    </a:prstGeom>
                    <a:ln>
                      <a:noFill/>
                    </a:ln>
                  </pic:spPr>
                </pic:pic>
              </a:graphicData>
            </a:graphic>
          </wp:inline>
        </w:drawing>
      </w:r>
    </w:p>
    <w:p w14:paraId="105A9620">
      <w:pPr>
        <w:spacing w:before="120" w:after="120" w:line="360" w:lineRule="auto"/>
        <w:jc w:val="left"/>
        <w:rPr>
          <w:rFonts w:hint="eastAsia" w:ascii="宋体" w:hAnsi="宋体" w:eastAsia="宋体"/>
          <w:color w:val="auto"/>
          <w:sz w:val="24"/>
          <w:szCs w:val="24"/>
        </w:rPr>
      </w:pPr>
      <w:r>
        <w:rPr>
          <w:rFonts w:hint="eastAsia" w:ascii="宋体" w:hAnsi="宋体" w:eastAsia="宋体"/>
          <w:color w:val="auto"/>
          <w:sz w:val="24"/>
          <w:szCs w:val="24"/>
        </w:rPr>
        <w:t>（</w:t>
      </w:r>
      <w:r>
        <w:rPr>
          <w:rFonts w:ascii="宋体" w:hAnsi="宋体" w:eastAsia="宋体"/>
          <w:color w:val="auto"/>
          <w:sz w:val="24"/>
          <w:szCs w:val="24"/>
        </w:rPr>
        <w:t>3</w:t>
      </w:r>
      <w:r>
        <w:rPr>
          <w:rFonts w:hint="eastAsia" w:ascii="宋体" w:hAnsi="宋体" w:eastAsia="宋体"/>
          <w:color w:val="auto"/>
          <w:sz w:val="24"/>
          <w:szCs w:val="24"/>
        </w:rPr>
        <w:t>）站内</w:t>
      </w:r>
      <w:r>
        <w:rPr>
          <w:rFonts w:ascii="宋体" w:hAnsi="宋体" w:eastAsia="宋体"/>
          <w:color w:val="auto"/>
          <w:sz w:val="24"/>
          <w:szCs w:val="24"/>
        </w:rPr>
        <w:t>保护装置</w:t>
      </w:r>
      <w:r>
        <w:rPr>
          <w:rFonts w:hint="eastAsia" w:ascii="宋体" w:hAnsi="宋体" w:eastAsia="宋体"/>
          <w:color w:val="auto"/>
          <w:sz w:val="24"/>
          <w:szCs w:val="24"/>
        </w:rPr>
        <w:t>运行年限</w:t>
      </w:r>
      <w:r>
        <w:rPr>
          <w:rFonts w:ascii="宋体" w:hAnsi="宋体" w:eastAsia="宋体"/>
          <w:color w:val="auto"/>
          <w:sz w:val="24"/>
          <w:szCs w:val="24"/>
        </w:rPr>
        <w:t>久</w:t>
      </w:r>
      <w:r>
        <w:rPr>
          <w:rFonts w:hint="eastAsia" w:ascii="宋体" w:hAnsi="宋体" w:eastAsia="宋体"/>
          <w:color w:val="auto"/>
          <w:sz w:val="24"/>
          <w:szCs w:val="24"/>
        </w:rPr>
        <w:t>，</w:t>
      </w:r>
      <w:r>
        <w:rPr>
          <w:rFonts w:ascii="宋体" w:hAnsi="宋体" w:eastAsia="宋体"/>
          <w:color w:val="auto"/>
          <w:sz w:val="24"/>
          <w:szCs w:val="24"/>
        </w:rPr>
        <w:t>不具备保护</w:t>
      </w:r>
      <w:r>
        <w:rPr>
          <w:rFonts w:hint="eastAsia" w:ascii="宋体" w:hAnsi="宋体" w:eastAsia="宋体"/>
          <w:color w:val="auto"/>
          <w:sz w:val="24"/>
          <w:szCs w:val="24"/>
        </w:rPr>
        <w:t>动作</w:t>
      </w:r>
      <w:r>
        <w:rPr>
          <w:rFonts w:ascii="宋体" w:hAnsi="宋体" w:eastAsia="宋体"/>
          <w:color w:val="auto"/>
          <w:sz w:val="24"/>
          <w:szCs w:val="24"/>
        </w:rPr>
        <w:t>信号</w:t>
      </w:r>
      <w:r>
        <w:rPr>
          <w:rFonts w:hint="eastAsia" w:ascii="宋体" w:hAnsi="宋体" w:eastAsia="宋体"/>
          <w:color w:val="auto"/>
          <w:sz w:val="24"/>
          <w:szCs w:val="24"/>
        </w:rPr>
        <w:t>上</w:t>
      </w:r>
      <w:r>
        <w:rPr>
          <w:rFonts w:ascii="宋体" w:hAnsi="宋体" w:eastAsia="宋体"/>
          <w:color w:val="auto"/>
          <w:sz w:val="24"/>
          <w:szCs w:val="24"/>
        </w:rPr>
        <w:t>传</w:t>
      </w:r>
      <w:r>
        <w:rPr>
          <w:rFonts w:hint="eastAsia" w:ascii="宋体" w:hAnsi="宋体" w:eastAsia="宋体"/>
          <w:color w:val="auto"/>
          <w:sz w:val="24"/>
          <w:szCs w:val="24"/>
        </w:rPr>
        <w:t>到</w:t>
      </w:r>
      <w:r>
        <w:rPr>
          <w:rFonts w:ascii="宋体" w:hAnsi="宋体" w:eastAsia="宋体"/>
          <w:color w:val="auto"/>
          <w:sz w:val="24"/>
          <w:szCs w:val="24"/>
        </w:rPr>
        <w:t>电力监控</w:t>
      </w:r>
      <w:r>
        <w:rPr>
          <w:rFonts w:hint="eastAsia" w:ascii="宋体" w:hAnsi="宋体" w:eastAsia="宋体"/>
          <w:color w:val="auto"/>
          <w:sz w:val="24"/>
          <w:szCs w:val="24"/>
        </w:rPr>
        <w:t>后台</w:t>
      </w:r>
      <w:r>
        <w:rPr>
          <w:rFonts w:ascii="宋体" w:hAnsi="宋体" w:eastAsia="宋体"/>
          <w:color w:val="auto"/>
          <w:sz w:val="24"/>
          <w:szCs w:val="24"/>
        </w:rPr>
        <w:t>的通信功能</w:t>
      </w:r>
      <w:r>
        <w:rPr>
          <w:rFonts w:hint="eastAsia" w:ascii="宋体" w:hAnsi="宋体" w:eastAsia="宋体"/>
          <w:color w:val="auto"/>
          <w:sz w:val="24"/>
          <w:szCs w:val="24"/>
        </w:rPr>
        <w:t>。</w:t>
      </w:r>
    </w:p>
    <w:p w14:paraId="270C5F0C">
      <w:pPr>
        <w:spacing w:before="120" w:after="120" w:line="360" w:lineRule="auto"/>
        <w:jc w:val="center"/>
        <w:rPr>
          <w:rFonts w:hint="eastAsia" w:ascii="宋体" w:hAnsi="宋体" w:eastAsia="宋体"/>
          <w:color w:val="auto"/>
          <w:sz w:val="24"/>
          <w:szCs w:val="24"/>
        </w:rPr>
      </w:pPr>
      <w:r>
        <w:rPr>
          <w:rFonts w:ascii="宋体" w:hAnsi="宋体" w:eastAsia="宋体"/>
          <w:color w:val="auto"/>
          <w:sz w:val="24"/>
          <w:szCs w:val="24"/>
        </w:rPr>
        <w:drawing>
          <wp:inline distT="0" distB="0" distL="0" distR="0">
            <wp:extent cx="3665220" cy="2445385"/>
            <wp:effectExtent l="0" t="0" r="0" b="0"/>
            <wp:docPr id="6" name="图片 6" descr="C:\Users\admin\xwechat_files\wxid_4zz0hbrxt8sy22_4528\temp\RWTemp\2026-10\0b7f036b3a815e0abb2612b62546c1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admin\xwechat_files\wxid_4zz0hbrxt8sy22_4528\temp\RWTemp\2026-10\0b7f036b3a815e0abb2612b62546c1d4.jpg"/>
                    <pic:cNvPicPr>
                      <a:picLocks noChangeAspect="1" noChangeArrowheads="1"/>
                    </pic:cNvPicPr>
                  </pic:nvPicPr>
                  <pic:blipFill>
                    <a:blip r:embed="rId12" cstate="print">
                      <a:extLst>
                        <a:ext uri="{28A0092B-C50C-407E-A947-70E740481C1C}">
                          <a14:useLocalDpi xmlns:a14="http://schemas.microsoft.com/office/drawing/2010/main" val="0"/>
                        </a:ext>
                      </a:extLst>
                    </a:blip>
                    <a:srcRect r="8393" b="18510"/>
                    <a:stretch>
                      <a:fillRect/>
                    </a:stretch>
                  </pic:blipFill>
                  <pic:spPr>
                    <a:xfrm>
                      <a:off x="0" y="0"/>
                      <a:ext cx="3666883" cy="2446418"/>
                    </a:xfrm>
                    <a:prstGeom prst="rect">
                      <a:avLst/>
                    </a:prstGeom>
                    <a:noFill/>
                    <a:ln>
                      <a:noFill/>
                    </a:ln>
                  </pic:spPr>
                </pic:pic>
              </a:graphicData>
            </a:graphic>
          </wp:inline>
        </w:drawing>
      </w:r>
    </w:p>
    <w:p w14:paraId="22C1EEE5">
      <w:pPr>
        <w:spacing w:before="120" w:after="120" w:line="360" w:lineRule="auto"/>
        <w:jc w:val="left"/>
        <w:rPr>
          <w:rFonts w:hint="eastAsia" w:ascii="宋体" w:hAnsi="宋体" w:eastAsia="宋体"/>
          <w:color w:val="auto"/>
          <w:sz w:val="24"/>
          <w:szCs w:val="24"/>
        </w:rPr>
      </w:pPr>
      <w:r>
        <w:rPr>
          <w:rFonts w:hint="eastAsia" w:ascii="宋体" w:hAnsi="宋体" w:eastAsia="宋体"/>
          <w:color w:val="auto"/>
          <w:sz w:val="24"/>
          <w:szCs w:val="24"/>
        </w:rPr>
        <w:t>（</w:t>
      </w:r>
      <w:r>
        <w:rPr>
          <w:rFonts w:ascii="宋体" w:hAnsi="宋体" w:eastAsia="宋体"/>
          <w:color w:val="auto"/>
          <w:sz w:val="24"/>
          <w:szCs w:val="24"/>
        </w:rPr>
        <w:t>4</w:t>
      </w:r>
      <w:r>
        <w:rPr>
          <w:rFonts w:hint="eastAsia" w:ascii="宋体" w:hAnsi="宋体" w:eastAsia="宋体"/>
          <w:color w:val="auto"/>
          <w:sz w:val="24"/>
          <w:szCs w:val="24"/>
        </w:rPr>
        <w:t>）配电箱内部分用电设备因长时间使用而老化，长时间使用的电线可能存在老化或磨损而出现破损等问题，导致线路裸露，增加触电和短路的风险。没有</w:t>
      </w:r>
      <w:r>
        <w:rPr>
          <w:rFonts w:ascii="宋体" w:hAnsi="宋体" w:eastAsia="宋体"/>
          <w:color w:val="auto"/>
          <w:sz w:val="24"/>
          <w:szCs w:val="24"/>
        </w:rPr>
        <w:t>漏电保护</w:t>
      </w:r>
      <w:r>
        <w:rPr>
          <w:rFonts w:hint="eastAsia" w:ascii="宋体" w:hAnsi="宋体" w:eastAsia="宋体"/>
          <w:color w:val="auto"/>
          <w:sz w:val="24"/>
          <w:szCs w:val="24"/>
        </w:rPr>
        <w:t>装置</w:t>
      </w:r>
      <w:r>
        <w:rPr>
          <w:rFonts w:ascii="宋体" w:hAnsi="宋体" w:eastAsia="宋体"/>
          <w:color w:val="auto"/>
          <w:sz w:val="24"/>
          <w:szCs w:val="24"/>
        </w:rPr>
        <w:t>等安全措施</w:t>
      </w:r>
      <w:r>
        <w:rPr>
          <w:rFonts w:hint="eastAsia" w:ascii="宋体" w:hAnsi="宋体" w:eastAsia="宋体"/>
          <w:color w:val="auto"/>
          <w:sz w:val="24"/>
          <w:szCs w:val="24"/>
        </w:rPr>
        <w:t>。</w:t>
      </w:r>
    </w:p>
    <w:p w14:paraId="0AE0E510">
      <w:pPr>
        <w:spacing w:before="120" w:after="120" w:line="360" w:lineRule="auto"/>
        <w:jc w:val="center"/>
        <w:rPr>
          <w:rFonts w:hint="eastAsia" w:ascii="宋体" w:hAnsi="宋体" w:eastAsia="宋体"/>
          <w:color w:val="auto"/>
          <w:sz w:val="24"/>
          <w:szCs w:val="24"/>
        </w:rPr>
      </w:pPr>
      <w:r>
        <w:rPr>
          <w:color w:val="auto"/>
        </w:rPr>
        <w:drawing>
          <wp:inline distT="0" distB="0" distL="0" distR="0">
            <wp:extent cx="2194560" cy="3460750"/>
            <wp:effectExtent l="0" t="0" r="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3"/>
                    <a:stretch>
                      <a:fillRect/>
                    </a:stretch>
                  </pic:blipFill>
                  <pic:spPr>
                    <a:xfrm>
                      <a:off x="0" y="0"/>
                      <a:ext cx="2201121" cy="3471285"/>
                    </a:xfrm>
                    <a:prstGeom prst="rect">
                      <a:avLst/>
                    </a:prstGeom>
                  </pic:spPr>
                </pic:pic>
              </a:graphicData>
            </a:graphic>
          </wp:inline>
        </w:drawing>
      </w:r>
    </w:p>
    <w:p w14:paraId="7D4FDC31">
      <w:pPr>
        <w:spacing w:before="120" w:after="120" w:line="360" w:lineRule="auto"/>
        <w:jc w:val="left"/>
        <w:rPr>
          <w:rFonts w:hint="eastAsia" w:ascii="宋体" w:hAnsi="宋体" w:eastAsia="宋体"/>
          <w:color w:val="auto"/>
          <w:sz w:val="24"/>
          <w:szCs w:val="24"/>
        </w:rPr>
      </w:pPr>
      <w:r>
        <w:rPr>
          <w:rFonts w:hint="eastAsia" w:ascii="宋体" w:hAnsi="宋体" w:eastAsia="宋体"/>
          <w:color w:val="auto"/>
          <w:sz w:val="24"/>
          <w:szCs w:val="24"/>
        </w:rPr>
        <w:t>（</w:t>
      </w:r>
      <w:r>
        <w:rPr>
          <w:rFonts w:ascii="宋体" w:hAnsi="宋体" w:eastAsia="宋体"/>
          <w:color w:val="auto"/>
          <w:sz w:val="24"/>
          <w:szCs w:val="24"/>
        </w:rPr>
        <w:t>5</w:t>
      </w:r>
      <w:r>
        <w:rPr>
          <w:rFonts w:hint="eastAsia" w:ascii="宋体" w:hAnsi="宋体" w:eastAsia="宋体"/>
          <w:color w:val="auto"/>
          <w:sz w:val="24"/>
          <w:szCs w:val="24"/>
        </w:rPr>
        <w:t>）</w:t>
      </w:r>
      <w:r>
        <w:rPr>
          <w:rFonts w:hint="eastAsia" w:ascii="宋体" w:hAnsi="宋体" w:eastAsia="宋体" w:cs="Times New Roman"/>
          <w:color w:val="auto"/>
          <w:sz w:val="24"/>
          <w:szCs w:val="24"/>
        </w:rPr>
        <w:t>变电站</w:t>
      </w:r>
      <w:r>
        <w:rPr>
          <w:rFonts w:ascii="宋体" w:hAnsi="宋体" w:eastAsia="宋体" w:cs="Times New Roman"/>
          <w:color w:val="auto"/>
          <w:sz w:val="24"/>
          <w:szCs w:val="24"/>
        </w:rPr>
        <w:t>未配置</w:t>
      </w:r>
      <w:r>
        <w:rPr>
          <w:rFonts w:hint="eastAsia" w:ascii="宋体" w:hAnsi="宋体" w:eastAsia="宋体" w:cs="Times New Roman"/>
          <w:color w:val="auto"/>
          <w:sz w:val="24"/>
          <w:szCs w:val="24"/>
        </w:rPr>
        <w:t>任何</w:t>
      </w:r>
      <w:r>
        <w:rPr>
          <w:rFonts w:ascii="宋体" w:hAnsi="宋体" w:eastAsia="宋体" w:cs="Times New Roman"/>
          <w:color w:val="auto"/>
          <w:sz w:val="24"/>
          <w:szCs w:val="24"/>
        </w:rPr>
        <w:t>的</w:t>
      </w:r>
      <w:r>
        <w:rPr>
          <w:rFonts w:hint="eastAsia" w:ascii="宋体" w:hAnsi="宋体" w:eastAsia="宋体" w:cs="Times New Roman"/>
          <w:color w:val="auto"/>
          <w:sz w:val="24"/>
          <w:szCs w:val="24"/>
        </w:rPr>
        <w:t>电力</w:t>
      </w:r>
      <w:r>
        <w:rPr>
          <w:rFonts w:ascii="宋体" w:hAnsi="宋体" w:eastAsia="宋体" w:cs="Times New Roman"/>
          <w:color w:val="auto"/>
          <w:sz w:val="24"/>
          <w:szCs w:val="24"/>
        </w:rPr>
        <w:t>监控系统</w:t>
      </w:r>
      <w:r>
        <w:rPr>
          <w:rFonts w:hint="eastAsia" w:ascii="宋体" w:hAnsi="宋体" w:eastAsia="宋体" w:cs="Times New Roman"/>
          <w:color w:val="auto"/>
          <w:sz w:val="24"/>
          <w:szCs w:val="24"/>
        </w:rPr>
        <w:t>，站内电力数据不能实时地、集中统一管理，导致</w:t>
      </w:r>
      <w:r>
        <w:rPr>
          <w:rFonts w:ascii="宋体" w:hAnsi="宋体" w:eastAsia="宋体" w:cs="Times New Roman"/>
          <w:color w:val="auto"/>
          <w:sz w:val="24"/>
          <w:szCs w:val="24"/>
        </w:rPr>
        <w:t>人工巡检</w:t>
      </w:r>
      <w:r>
        <w:rPr>
          <w:rFonts w:hint="eastAsia" w:ascii="宋体" w:hAnsi="宋体" w:eastAsia="宋体" w:cs="Times New Roman"/>
          <w:color w:val="auto"/>
          <w:sz w:val="24"/>
          <w:szCs w:val="24"/>
        </w:rPr>
        <w:t>无法</w:t>
      </w:r>
      <w:r>
        <w:rPr>
          <w:rFonts w:ascii="宋体" w:hAnsi="宋体" w:eastAsia="宋体" w:cs="Times New Roman"/>
          <w:color w:val="auto"/>
          <w:sz w:val="24"/>
          <w:szCs w:val="24"/>
        </w:rPr>
        <w:t>及时发现漏电、</w:t>
      </w:r>
      <w:r>
        <w:rPr>
          <w:rFonts w:hint="eastAsia" w:ascii="宋体" w:hAnsi="宋体" w:eastAsia="宋体" w:cs="Times New Roman"/>
          <w:color w:val="auto"/>
          <w:sz w:val="24"/>
          <w:szCs w:val="24"/>
        </w:rPr>
        <w:t>短路</w:t>
      </w:r>
      <w:r>
        <w:rPr>
          <w:rFonts w:ascii="宋体" w:hAnsi="宋体" w:eastAsia="宋体" w:cs="Times New Roman"/>
          <w:color w:val="auto"/>
          <w:sz w:val="24"/>
          <w:szCs w:val="24"/>
        </w:rPr>
        <w:t>、超温、过载</w:t>
      </w:r>
      <w:r>
        <w:rPr>
          <w:rFonts w:hint="eastAsia" w:ascii="宋体" w:hAnsi="宋体" w:eastAsia="宋体" w:cs="Times New Roman"/>
          <w:color w:val="auto"/>
          <w:sz w:val="24"/>
          <w:szCs w:val="24"/>
        </w:rPr>
        <w:t>等事故</w:t>
      </w:r>
      <w:r>
        <w:rPr>
          <w:rFonts w:ascii="宋体" w:hAnsi="宋体" w:eastAsia="宋体" w:cs="Times New Roman"/>
          <w:color w:val="auto"/>
          <w:sz w:val="24"/>
          <w:szCs w:val="24"/>
        </w:rPr>
        <w:t>隐患</w:t>
      </w:r>
      <w:r>
        <w:rPr>
          <w:rFonts w:hint="eastAsia" w:ascii="宋体" w:hAnsi="宋体" w:eastAsia="宋体" w:cs="Times New Roman"/>
          <w:color w:val="auto"/>
          <w:sz w:val="24"/>
          <w:szCs w:val="24"/>
        </w:rPr>
        <w:t>。</w:t>
      </w:r>
    </w:p>
    <w:p w14:paraId="414A4B90">
      <w:pPr>
        <w:spacing w:before="120" w:after="120" w:line="360" w:lineRule="auto"/>
        <w:jc w:val="center"/>
        <w:rPr>
          <w:rFonts w:ascii="宋体" w:hAnsi="宋体" w:eastAsia="宋体"/>
          <w:color w:val="auto"/>
          <w:sz w:val="24"/>
          <w:szCs w:val="24"/>
        </w:rPr>
      </w:pPr>
      <w:r>
        <w:rPr>
          <w:rFonts w:ascii="宋体" w:hAnsi="宋体" w:eastAsia="宋体"/>
          <w:color w:val="auto"/>
          <w:sz w:val="24"/>
          <w:szCs w:val="24"/>
        </w:rPr>
        <w:drawing>
          <wp:inline distT="0" distB="0" distL="0" distR="0">
            <wp:extent cx="4958080" cy="3718560"/>
            <wp:effectExtent l="0" t="0" r="0" b="0"/>
            <wp:docPr id="28" name="图片 28" descr="C:\Users\admin\xwechat_files\wxid_4zz0hbrxt8sy22_4528\temp\RWTemp\2026-10\e14e975381447a6561a2f78f4167e8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C:\Users\admin\xwechat_files\wxid_4zz0hbrxt8sy22_4528\temp\RWTemp\2026-10\e14e975381447a6561a2f78f4167e85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4971263" cy="3728148"/>
                    </a:xfrm>
                    <a:prstGeom prst="rect">
                      <a:avLst/>
                    </a:prstGeom>
                    <a:noFill/>
                    <a:ln>
                      <a:noFill/>
                    </a:ln>
                  </pic:spPr>
                </pic:pic>
              </a:graphicData>
            </a:graphic>
          </wp:inline>
        </w:drawing>
      </w:r>
    </w:p>
    <w:p w14:paraId="397C795E">
      <w:pPr>
        <w:spacing w:before="120" w:after="120" w:line="360" w:lineRule="auto"/>
        <w:jc w:val="center"/>
        <w:rPr>
          <w:rFonts w:ascii="宋体" w:hAnsi="宋体" w:eastAsia="宋体"/>
          <w:color w:val="auto"/>
          <w:sz w:val="24"/>
          <w:szCs w:val="24"/>
        </w:rPr>
      </w:pPr>
    </w:p>
    <w:p w14:paraId="417D1B7B">
      <w:pPr>
        <w:spacing w:before="120" w:after="120" w:line="360" w:lineRule="auto"/>
        <w:jc w:val="center"/>
        <w:rPr>
          <w:rFonts w:hint="eastAsia" w:ascii="宋体" w:hAnsi="宋体" w:eastAsia="宋体"/>
          <w:color w:val="auto"/>
          <w:sz w:val="24"/>
          <w:szCs w:val="24"/>
        </w:rPr>
      </w:pPr>
    </w:p>
    <w:p w14:paraId="0FA741AF">
      <w:pPr>
        <w:spacing w:before="120" w:after="120" w:line="360" w:lineRule="auto"/>
        <w:jc w:val="left"/>
        <w:outlineLvl w:val="1"/>
        <w:rPr>
          <w:rFonts w:ascii="宋体" w:hAnsi="宋体" w:eastAsia="宋体"/>
          <w:b/>
          <w:bCs/>
          <w:color w:val="auto"/>
          <w:sz w:val="28"/>
          <w:szCs w:val="28"/>
        </w:rPr>
      </w:pPr>
      <w:bookmarkStart w:id="11" w:name="_Toc244176383"/>
      <w:bookmarkStart w:id="12" w:name="_Toc244176114"/>
      <w:r>
        <w:rPr>
          <w:rFonts w:hint="eastAsia" w:ascii="宋体" w:hAnsi="宋体" w:eastAsia="宋体"/>
          <w:b/>
          <w:bCs/>
          <w:color w:val="auto"/>
          <w:sz w:val="28"/>
          <w:szCs w:val="28"/>
        </w:rPr>
        <w:t>2.2 问题分析</w:t>
      </w:r>
      <w:bookmarkEnd w:id="11"/>
      <w:bookmarkEnd w:id="12"/>
    </w:p>
    <w:p w14:paraId="763CF326">
      <w:pPr>
        <w:spacing w:line="360" w:lineRule="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 xml:space="preserve">    </w:t>
      </w:r>
      <w:r>
        <w:rPr>
          <w:rFonts w:hint="eastAsia" w:ascii="宋体" w:hAnsi="宋体" w:eastAsia="宋体"/>
          <w:color w:val="auto"/>
          <w:sz w:val="24"/>
          <w:szCs w:val="24"/>
        </w:rPr>
        <w:t>成都八一骨科</w:t>
      </w:r>
      <w:r>
        <w:rPr>
          <w:rFonts w:ascii="宋体" w:hAnsi="宋体" w:eastAsia="宋体"/>
          <w:color w:val="auto"/>
          <w:sz w:val="24"/>
          <w:szCs w:val="24"/>
        </w:rPr>
        <w:t>医院（</w:t>
      </w:r>
      <w:r>
        <w:rPr>
          <w:rFonts w:hint="eastAsia" w:ascii="宋体" w:hAnsi="宋体" w:eastAsia="宋体"/>
          <w:color w:val="auto"/>
          <w:sz w:val="24"/>
          <w:szCs w:val="24"/>
        </w:rPr>
        <w:t>青羊区</w:t>
      </w:r>
      <w:r>
        <w:rPr>
          <w:rFonts w:ascii="宋体" w:hAnsi="宋体" w:eastAsia="宋体"/>
          <w:color w:val="auto"/>
          <w:sz w:val="24"/>
          <w:szCs w:val="24"/>
        </w:rPr>
        <w:t>院区）</w:t>
      </w:r>
      <w:r>
        <w:rPr>
          <w:rFonts w:hint="eastAsia" w:ascii="宋体" w:hAnsi="宋体" w:eastAsia="宋体" w:cs="Times New Roman"/>
          <w:color w:val="auto"/>
          <w:sz w:val="24"/>
          <w:szCs w:val="24"/>
        </w:rPr>
        <w:t>配电系统现状分析，</w:t>
      </w:r>
      <w:r>
        <w:rPr>
          <w:rFonts w:hint="eastAsia" w:ascii="宋体" w:hAnsi="宋体" w:eastAsia="宋体"/>
          <w:bCs/>
          <w:color w:val="auto"/>
          <w:sz w:val="24"/>
          <w:szCs w:val="24"/>
        </w:rPr>
        <w:t>整套供电系统基本上是在</w:t>
      </w:r>
      <w:r>
        <w:rPr>
          <w:rFonts w:ascii="宋体" w:hAnsi="宋体" w:eastAsia="宋体"/>
          <w:bCs/>
          <w:color w:val="auto"/>
          <w:sz w:val="24"/>
          <w:szCs w:val="24"/>
        </w:rPr>
        <w:t>2006年期间建设，供配电设备陈旧，且未配备</w:t>
      </w:r>
      <w:r>
        <w:rPr>
          <w:rFonts w:hint="eastAsia" w:ascii="宋体" w:hAnsi="宋体" w:eastAsia="宋体"/>
          <w:bCs/>
          <w:color w:val="auto"/>
          <w:sz w:val="24"/>
          <w:szCs w:val="24"/>
        </w:rPr>
        <w:t>任何</w:t>
      </w:r>
      <w:r>
        <w:rPr>
          <w:rFonts w:ascii="宋体" w:hAnsi="宋体" w:eastAsia="宋体"/>
          <w:bCs/>
          <w:color w:val="auto"/>
          <w:sz w:val="24"/>
          <w:szCs w:val="24"/>
        </w:rPr>
        <w:t>电力监控系统。随着电气线路</w:t>
      </w:r>
      <w:r>
        <w:rPr>
          <w:rFonts w:hint="eastAsia" w:ascii="宋体" w:hAnsi="宋体" w:eastAsia="宋体"/>
          <w:bCs/>
          <w:color w:val="auto"/>
          <w:sz w:val="24"/>
          <w:szCs w:val="24"/>
        </w:rPr>
        <w:t>运行年限的增加</w:t>
      </w:r>
      <w:r>
        <w:rPr>
          <w:rFonts w:ascii="宋体" w:hAnsi="宋体" w:eastAsia="宋体"/>
          <w:bCs/>
          <w:color w:val="auto"/>
          <w:sz w:val="24"/>
          <w:szCs w:val="24"/>
        </w:rPr>
        <w:t>，</w:t>
      </w:r>
      <w:r>
        <w:rPr>
          <w:rFonts w:hint="eastAsia" w:ascii="宋体" w:hAnsi="宋体" w:eastAsia="宋体"/>
          <w:bCs/>
          <w:color w:val="auto"/>
          <w:sz w:val="24"/>
          <w:szCs w:val="24"/>
        </w:rPr>
        <w:t>在</w:t>
      </w:r>
      <w:r>
        <w:rPr>
          <w:rFonts w:ascii="宋体" w:hAnsi="宋体" w:eastAsia="宋体"/>
          <w:bCs/>
          <w:color w:val="auto"/>
          <w:sz w:val="24"/>
          <w:szCs w:val="24"/>
        </w:rPr>
        <w:t>医院内人员</w:t>
      </w:r>
      <w:r>
        <w:rPr>
          <w:rFonts w:hint="eastAsia" w:ascii="宋体" w:hAnsi="宋体" w:eastAsia="宋体"/>
          <w:bCs/>
          <w:color w:val="auto"/>
          <w:sz w:val="24"/>
          <w:szCs w:val="24"/>
        </w:rPr>
        <w:t>比较密集</w:t>
      </w:r>
      <w:r>
        <w:rPr>
          <w:rFonts w:ascii="宋体" w:hAnsi="宋体" w:eastAsia="宋体"/>
          <w:bCs/>
          <w:color w:val="auto"/>
          <w:sz w:val="24"/>
          <w:szCs w:val="24"/>
        </w:rPr>
        <w:t>，贵重</w:t>
      </w:r>
      <w:r>
        <w:rPr>
          <w:rFonts w:hint="eastAsia" w:ascii="宋体" w:hAnsi="宋体" w:eastAsia="宋体"/>
          <w:bCs/>
          <w:color w:val="auto"/>
          <w:sz w:val="24"/>
          <w:szCs w:val="24"/>
        </w:rPr>
        <w:t>医疗设备</w:t>
      </w:r>
      <w:r>
        <w:rPr>
          <w:rFonts w:ascii="宋体" w:hAnsi="宋体" w:eastAsia="宋体"/>
          <w:bCs/>
          <w:color w:val="auto"/>
          <w:sz w:val="24"/>
          <w:szCs w:val="24"/>
        </w:rPr>
        <w:t>较多的环境下，当线路出现漏电、温度升高、短路</w:t>
      </w:r>
      <w:r>
        <w:rPr>
          <w:rFonts w:hint="eastAsia" w:ascii="宋体" w:hAnsi="宋体" w:eastAsia="宋体"/>
          <w:bCs/>
          <w:color w:val="auto"/>
          <w:sz w:val="24"/>
          <w:szCs w:val="24"/>
        </w:rPr>
        <w:t>等故障时</w:t>
      </w:r>
      <w:r>
        <w:rPr>
          <w:rFonts w:ascii="宋体" w:hAnsi="宋体" w:eastAsia="宋体"/>
          <w:bCs/>
          <w:color w:val="auto"/>
          <w:sz w:val="24"/>
          <w:szCs w:val="24"/>
        </w:rPr>
        <w:t>，管理人员无法及时得知，极易形成电气火灾，发生人身安全事故，造成设备及财产的损失。</w:t>
      </w:r>
      <w:r>
        <w:rPr>
          <w:rFonts w:hint="eastAsia" w:ascii="宋体" w:hAnsi="宋体" w:eastAsia="宋体" w:cs="Times New Roman"/>
          <w:color w:val="auto"/>
          <w:sz w:val="24"/>
          <w:szCs w:val="24"/>
        </w:rPr>
        <w:t>主要存在问题有：</w:t>
      </w:r>
    </w:p>
    <w:p w14:paraId="1B48FF87">
      <w:pPr>
        <w:spacing w:line="360" w:lineRule="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（1）目前仍采用的是指针式仪表，</w:t>
      </w:r>
      <w:r>
        <w:rPr>
          <w:rFonts w:ascii="宋体" w:hAnsi="宋体" w:eastAsia="宋体" w:cs="Times New Roman"/>
          <w:color w:val="auto"/>
          <w:sz w:val="24"/>
          <w:szCs w:val="24"/>
        </w:rPr>
        <w:t>未实现电流、电压等电气参数的自动化采集</w:t>
      </w:r>
      <w:r>
        <w:rPr>
          <w:rFonts w:hint="eastAsia" w:ascii="宋体" w:hAnsi="宋体" w:eastAsia="宋体" w:cs="Times New Roman"/>
          <w:color w:val="auto"/>
          <w:sz w:val="24"/>
          <w:szCs w:val="24"/>
        </w:rPr>
        <w:t>，运维人员</w:t>
      </w:r>
      <w:r>
        <w:rPr>
          <w:rFonts w:ascii="宋体" w:hAnsi="宋体" w:eastAsia="宋体" w:cs="Times New Roman"/>
          <w:color w:val="auto"/>
          <w:sz w:val="24"/>
          <w:szCs w:val="24"/>
        </w:rPr>
        <w:t>无法</w:t>
      </w:r>
      <w:r>
        <w:rPr>
          <w:rFonts w:hint="eastAsia" w:ascii="宋体" w:hAnsi="宋体" w:eastAsia="宋体" w:cs="Times New Roman"/>
          <w:color w:val="auto"/>
          <w:sz w:val="24"/>
          <w:szCs w:val="24"/>
        </w:rPr>
        <w:t>实时掌握电路运行</w:t>
      </w:r>
      <w:r>
        <w:rPr>
          <w:rFonts w:ascii="宋体" w:hAnsi="宋体" w:eastAsia="宋体" w:cs="Times New Roman"/>
          <w:color w:val="auto"/>
          <w:sz w:val="24"/>
          <w:szCs w:val="24"/>
        </w:rPr>
        <w:t>状态，</w:t>
      </w:r>
      <w:r>
        <w:rPr>
          <w:rFonts w:hint="eastAsia" w:ascii="宋体" w:hAnsi="宋体" w:eastAsia="宋体" w:cs="Times New Roman"/>
          <w:color w:val="auto"/>
          <w:sz w:val="24"/>
          <w:szCs w:val="24"/>
        </w:rPr>
        <w:t>电站</w:t>
      </w:r>
      <w:r>
        <w:rPr>
          <w:rFonts w:ascii="宋体" w:hAnsi="宋体" w:eastAsia="宋体" w:cs="Times New Roman"/>
          <w:color w:val="auto"/>
          <w:sz w:val="24"/>
          <w:szCs w:val="24"/>
        </w:rPr>
        <w:t>电气参数，长期属于救火</w:t>
      </w:r>
      <w:r>
        <w:rPr>
          <w:rFonts w:hint="eastAsia" w:ascii="宋体" w:hAnsi="宋体" w:eastAsia="宋体" w:cs="Times New Roman"/>
          <w:color w:val="auto"/>
          <w:sz w:val="24"/>
          <w:szCs w:val="24"/>
        </w:rPr>
        <w:t>式运检模式</w:t>
      </w:r>
      <w:r>
        <w:rPr>
          <w:rFonts w:ascii="宋体" w:hAnsi="宋体" w:eastAsia="宋体" w:cs="Times New Roman"/>
          <w:color w:val="auto"/>
          <w:sz w:val="24"/>
          <w:szCs w:val="24"/>
        </w:rPr>
        <w:t>。</w:t>
      </w:r>
      <w:r>
        <w:rPr>
          <w:rFonts w:hint="eastAsia" w:ascii="宋体" w:hAnsi="宋体" w:eastAsia="宋体" w:cs="Times New Roman"/>
          <w:color w:val="auto"/>
          <w:sz w:val="24"/>
          <w:szCs w:val="24"/>
        </w:rPr>
        <w:t>故障</w:t>
      </w:r>
      <w:r>
        <w:rPr>
          <w:rFonts w:ascii="宋体" w:hAnsi="宋体" w:eastAsia="宋体" w:cs="Times New Roman"/>
          <w:color w:val="auto"/>
          <w:sz w:val="24"/>
          <w:szCs w:val="24"/>
        </w:rPr>
        <w:t>响应</w:t>
      </w:r>
      <w:r>
        <w:rPr>
          <w:rFonts w:hint="eastAsia" w:ascii="宋体" w:hAnsi="宋体" w:eastAsia="宋体" w:cs="Times New Roman"/>
          <w:color w:val="auto"/>
          <w:sz w:val="24"/>
          <w:szCs w:val="24"/>
        </w:rPr>
        <w:t>迟缓，用电</w:t>
      </w:r>
      <w:r>
        <w:rPr>
          <w:rFonts w:ascii="宋体" w:hAnsi="宋体" w:eastAsia="宋体" w:cs="Times New Roman"/>
          <w:color w:val="auto"/>
          <w:sz w:val="24"/>
          <w:szCs w:val="24"/>
        </w:rPr>
        <w:t>中断风险增加。</w:t>
      </w:r>
    </w:p>
    <w:p w14:paraId="5A7FA84C">
      <w:pPr>
        <w:spacing w:line="360" w:lineRule="auto"/>
        <w:jc w:val="left"/>
        <w:rPr>
          <w:rFonts w:hint="eastAsia" w:ascii="宋体" w:hAnsi="宋体" w:eastAsia="宋体" w:cs="Times New Roman"/>
          <w:color w:val="auto"/>
          <w:sz w:val="24"/>
          <w:szCs w:val="24"/>
        </w:rPr>
      </w:pPr>
      <w:r>
        <w:rPr>
          <w:rFonts w:hint="eastAsia" w:ascii="宋体" w:hAnsi="宋体" w:eastAsia="宋体" w:cs="Times New Roman"/>
          <w:color w:val="auto"/>
          <w:sz w:val="24"/>
          <w:szCs w:val="24"/>
        </w:rPr>
        <w:t>（2）主</w:t>
      </w:r>
      <w:r>
        <w:rPr>
          <w:rFonts w:ascii="宋体" w:hAnsi="宋体" w:eastAsia="宋体" w:cs="Times New Roman"/>
          <w:color w:val="auto"/>
          <w:sz w:val="24"/>
          <w:szCs w:val="24"/>
        </w:rPr>
        <w:t>变压器</w:t>
      </w:r>
      <w:r>
        <w:rPr>
          <w:rFonts w:hint="eastAsia" w:ascii="宋体" w:hAnsi="宋体" w:eastAsia="宋体" w:cs="Times New Roman"/>
          <w:color w:val="auto"/>
          <w:sz w:val="24"/>
          <w:szCs w:val="24"/>
        </w:rPr>
        <w:t>的</w:t>
      </w:r>
      <w:r>
        <w:rPr>
          <w:rFonts w:ascii="宋体" w:hAnsi="宋体" w:eastAsia="宋体" w:cs="Times New Roman"/>
          <w:color w:val="auto"/>
          <w:sz w:val="24"/>
          <w:szCs w:val="24"/>
        </w:rPr>
        <w:t>温度、</w:t>
      </w:r>
      <w:r>
        <w:rPr>
          <w:rFonts w:hint="eastAsia" w:ascii="宋体" w:hAnsi="宋体" w:eastAsia="宋体" w:cs="Times New Roman"/>
          <w:color w:val="auto"/>
          <w:sz w:val="24"/>
          <w:szCs w:val="24"/>
        </w:rPr>
        <w:t>运行</w:t>
      </w:r>
      <w:r>
        <w:rPr>
          <w:rFonts w:ascii="宋体" w:hAnsi="宋体" w:eastAsia="宋体" w:cs="Times New Roman"/>
          <w:color w:val="auto"/>
          <w:sz w:val="24"/>
          <w:szCs w:val="24"/>
        </w:rPr>
        <w:t>负荷等重要信息</w:t>
      </w:r>
      <w:r>
        <w:rPr>
          <w:rFonts w:hint="eastAsia" w:ascii="宋体" w:hAnsi="宋体" w:eastAsia="宋体" w:cs="Times New Roman"/>
          <w:color w:val="auto"/>
          <w:sz w:val="24"/>
          <w:szCs w:val="24"/>
        </w:rPr>
        <w:t>均未实现</w:t>
      </w:r>
      <w:r>
        <w:rPr>
          <w:rFonts w:ascii="宋体" w:hAnsi="宋体" w:eastAsia="宋体" w:cs="Times New Roman"/>
          <w:color w:val="auto"/>
          <w:sz w:val="24"/>
          <w:szCs w:val="24"/>
        </w:rPr>
        <w:t>自动采集</w:t>
      </w:r>
      <w:r>
        <w:rPr>
          <w:rFonts w:hint="eastAsia" w:ascii="宋体" w:hAnsi="宋体" w:eastAsia="宋体" w:cs="Times New Roman"/>
          <w:color w:val="auto"/>
          <w:sz w:val="24"/>
          <w:szCs w:val="24"/>
        </w:rPr>
        <w:t xml:space="preserve">和数据上传，对于变压器高温告警、超温跳闸等故障信息均不能通知到电站管理部门，给管理部门增加了检修困难，导致故障排除时间更长。 </w:t>
      </w:r>
    </w:p>
    <w:p w14:paraId="6E6845AC">
      <w:pPr>
        <w:spacing w:line="360" w:lineRule="auto"/>
        <w:jc w:val="left"/>
        <w:rPr>
          <w:rFonts w:hint="eastAsia" w:ascii="宋体" w:hAnsi="宋体" w:eastAsia="宋体" w:cs="Times New Roman"/>
          <w:color w:val="auto"/>
          <w:sz w:val="24"/>
          <w:szCs w:val="24"/>
        </w:rPr>
      </w:pPr>
      <w:r>
        <w:rPr>
          <w:rFonts w:hint="eastAsia" w:ascii="宋体" w:hAnsi="宋体" w:eastAsia="宋体" w:cs="Times New Roman"/>
          <w:color w:val="auto"/>
          <w:sz w:val="24"/>
          <w:szCs w:val="24"/>
        </w:rPr>
        <w:t>（3）站内</w:t>
      </w:r>
      <w:r>
        <w:rPr>
          <w:rFonts w:ascii="宋体" w:hAnsi="宋体" w:eastAsia="宋体" w:cs="Times New Roman"/>
          <w:color w:val="auto"/>
          <w:sz w:val="24"/>
          <w:szCs w:val="24"/>
        </w:rPr>
        <w:t>保护装置</w:t>
      </w:r>
      <w:r>
        <w:rPr>
          <w:rFonts w:hint="eastAsia" w:ascii="宋体" w:hAnsi="宋体" w:eastAsia="宋体" w:cs="Times New Roman"/>
          <w:color w:val="auto"/>
          <w:sz w:val="24"/>
          <w:szCs w:val="24"/>
        </w:rPr>
        <w:t>运行年限</w:t>
      </w:r>
      <w:r>
        <w:rPr>
          <w:rFonts w:ascii="宋体" w:hAnsi="宋体" w:eastAsia="宋体" w:cs="Times New Roman"/>
          <w:color w:val="auto"/>
          <w:sz w:val="24"/>
          <w:szCs w:val="24"/>
        </w:rPr>
        <w:t>久</w:t>
      </w:r>
      <w:r>
        <w:rPr>
          <w:rFonts w:hint="eastAsia" w:ascii="宋体" w:hAnsi="宋体" w:eastAsia="宋体" w:cs="Times New Roman"/>
          <w:color w:val="auto"/>
          <w:sz w:val="24"/>
          <w:szCs w:val="24"/>
        </w:rPr>
        <w:t>，且</w:t>
      </w:r>
      <w:r>
        <w:rPr>
          <w:rFonts w:ascii="宋体" w:hAnsi="宋体" w:eastAsia="宋体" w:cs="Times New Roman"/>
          <w:color w:val="auto"/>
          <w:sz w:val="24"/>
          <w:szCs w:val="24"/>
        </w:rPr>
        <w:t>不具备保护</w:t>
      </w:r>
      <w:r>
        <w:rPr>
          <w:rFonts w:hint="eastAsia" w:ascii="宋体" w:hAnsi="宋体" w:eastAsia="宋体" w:cs="Times New Roman"/>
          <w:color w:val="auto"/>
          <w:sz w:val="24"/>
          <w:szCs w:val="24"/>
        </w:rPr>
        <w:t>动作</w:t>
      </w:r>
      <w:r>
        <w:rPr>
          <w:rFonts w:ascii="宋体" w:hAnsi="宋体" w:eastAsia="宋体" w:cs="Times New Roman"/>
          <w:color w:val="auto"/>
          <w:sz w:val="24"/>
          <w:szCs w:val="24"/>
        </w:rPr>
        <w:t>信号</w:t>
      </w:r>
      <w:r>
        <w:rPr>
          <w:rFonts w:hint="eastAsia" w:ascii="宋体" w:hAnsi="宋体" w:eastAsia="宋体" w:cs="Times New Roman"/>
          <w:color w:val="auto"/>
          <w:sz w:val="24"/>
          <w:szCs w:val="24"/>
        </w:rPr>
        <w:t>上</w:t>
      </w:r>
      <w:r>
        <w:rPr>
          <w:rFonts w:ascii="宋体" w:hAnsi="宋体" w:eastAsia="宋体" w:cs="Times New Roman"/>
          <w:color w:val="auto"/>
          <w:sz w:val="24"/>
          <w:szCs w:val="24"/>
        </w:rPr>
        <w:t>传</w:t>
      </w:r>
      <w:r>
        <w:rPr>
          <w:rFonts w:hint="eastAsia" w:ascii="宋体" w:hAnsi="宋体" w:eastAsia="宋体" w:cs="Times New Roman"/>
          <w:color w:val="auto"/>
          <w:sz w:val="24"/>
          <w:szCs w:val="24"/>
        </w:rPr>
        <w:t>到</w:t>
      </w:r>
      <w:r>
        <w:rPr>
          <w:rFonts w:ascii="宋体" w:hAnsi="宋体" w:eastAsia="宋体" w:cs="Times New Roman"/>
          <w:color w:val="auto"/>
          <w:sz w:val="24"/>
          <w:szCs w:val="24"/>
        </w:rPr>
        <w:t>电力监控</w:t>
      </w:r>
      <w:r>
        <w:rPr>
          <w:rFonts w:hint="eastAsia" w:ascii="宋体" w:hAnsi="宋体" w:eastAsia="宋体" w:cs="Times New Roman"/>
          <w:color w:val="auto"/>
          <w:sz w:val="24"/>
          <w:szCs w:val="24"/>
        </w:rPr>
        <w:t>后台</w:t>
      </w:r>
      <w:r>
        <w:rPr>
          <w:rFonts w:ascii="宋体" w:hAnsi="宋体" w:eastAsia="宋体" w:cs="Times New Roman"/>
          <w:color w:val="auto"/>
          <w:sz w:val="24"/>
          <w:szCs w:val="24"/>
        </w:rPr>
        <w:t>的通信功能</w:t>
      </w:r>
      <w:r>
        <w:rPr>
          <w:rFonts w:hint="eastAsia" w:ascii="宋体" w:hAnsi="宋体" w:eastAsia="宋体" w:cs="Times New Roman"/>
          <w:color w:val="auto"/>
          <w:sz w:val="24"/>
          <w:szCs w:val="24"/>
        </w:rPr>
        <w:t>。</w:t>
      </w:r>
      <w:r>
        <w:rPr>
          <w:rFonts w:ascii="宋体" w:hAnsi="宋体" w:eastAsia="宋体" w:cs="Times New Roman"/>
          <w:color w:val="auto"/>
          <w:sz w:val="24"/>
          <w:szCs w:val="24"/>
        </w:rPr>
        <w:t>一旦发生</w:t>
      </w:r>
      <w:r>
        <w:rPr>
          <w:rFonts w:hint="eastAsia" w:ascii="宋体" w:hAnsi="宋体" w:eastAsia="宋体" w:cs="Times New Roman"/>
          <w:color w:val="auto"/>
          <w:sz w:val="24"/>
          <w:szCs w:val="24"/>
        </w:rPr>
        <w:t>跳闸等</w:t>
      </w:r>
      <w:r>
        <w:rPr>
          <w:rFonts w:ascii="宋体" w:hAnsi="宋体" w:eastAsia="宋体" w:cs="Times New Roman"/>
          <w:color w:val="auto"/>
          <w:sz w:val="24"/>
          <w:szCs w:val="24"/>
        </w:rPr>
        <w:t>故障，运维人员无法及时</w:t>
      </w:r>
      <w:r>
        <w:rPr>
          <w:rFonts w:hint="eastAsia" w:ascii="宋体" w:hAnsi="宋体" w:eastAsia="宋体" w:cs="Times New Roman"/>
          <w:color w:val="auto"/>
          <w:sz w:val="24"/>
          <w:szCs w:val="24"/>
        </w:rPr>
        <w:t>定位</w:t>
      </w:r>
      <w:r>
        <w:rPr>
          <w:rFonts w:ascii="宋体" w:hAnsi="宋体" w:eastAsia="宋体" w:cs="Times New Roman"/>
          <w:color w:val="auto"/>
          <w:sz w:val="24"/>
          <w:szCs w:val="24"/>
        </w:rPr>
        <w:t>故障点</w:t>
      </w:r>
      <w:r>
        <w:rPr>
          <w:rFonts w:hint="eastAsia" w:ascii="宋体" w:hAnsi="宋体" w:eastAsia="宋体" w:cs="Times New Roman"/>
          <w:color w:val="auto"/>
          <w:sz w:val="24"/>
          <w:szCs w:val="24"/>
        </w:rPr>
        <w:t>并采取相应</w:t>
      </w:r>
      <w:r>
        <w:rPr>
          <w:rFonts w:ascii="宋体" w:hAnsi="宋体" w:eastAsia="宋体" w:cs="Times New Roman"/>
          <w:color w:val="auto"/>
          <w:sz w:val="24"/>
          <w:szCs w:val="24"/>
        </w:rPr>
        <w:t>的措施</w:t>
      </w:r>
      <w:r>
        <w:rPr>
          <w:rFonts w:hint="eastAsia" w:ascii="宋体" w:hAnsi="宋体" w:eastAsia="宋体" w:cs="Times New Roman"/>
          <w:color w:val="auto"/>
          <w:sz w:val="24"/>
          <w:szCs w:val="24"/>
        </w:rPr>
        <w:t>处理</w:t>
      </w:r>
      <w:r>
        <w:rPr>
          <w:rFonts w:ascii="宋体" w:hAnsi="宋体" w:eastAsia="宋体" w:cs="Times New Roman"/>
          <w:color w:val="auto"/>
          <w:sz w:val="24"/>
          <w:szCs w:val="24"/>
        </w:rPr>
        <w:t>，延长故障停电时间，扩大停电风险</w:t>
      </w:r>
      <w:r>
        <w:rPr>
          <w:rFonts w:hint="eastAsia" w:ascii="宋体" w:hAnsi="宋体" w:eastAsia="宋体" w:cs="Times New Roman"/>
          <w:color w:val="auto"/>
          <w:sz w:val="24"/>
          <w:szCs w:val="24"/>
        </w:rPr>
        <w:t>。</w:t>
      </w:r>
    </w:p>
    <w:p w14:paraId="4BB1E351">
      <w:pPr>
        <w:spacing w:line="360" w:lineRule="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（4）配电箱</w:t>
      </w:r>
      <w:r>
        <w:rPr>
          <w:rFonts w:ascii="宋体" w:hAnsi="宋体" w:eastAsia="宋体" w:cs="Times New Roman"/>
          <w:color w:val="auto"/>
          <w:sz w:val="24"/>
          <w:szCs w:val="24"/>
        </w:rPr>
        <w:t>内</w:t>
      </w:r>
      <w:r>
        <w:rPr>
          <w:rFonts w:hint="eastAsia" w:ascii="宋体" w:hAnsi="宋体" w:eastAsia="宋体" w:cs="Times New Roman"/>
          <w:color w:val="auto"/>
          <w:sz w:val="24"/>
          <w:szCs w:val="24"/>
        </w:rPr>
        <w:t>未安装</w:t>
      </w:r>
      <w:r>
        <w:rPr>
          <w:rFonts w:ascii="宋体" w:hAnsi="宋体" w:eastAsia="宋体" w:cs="Times New Roman"/>
          <w:color w:val="auto"/>
          <w:sz w:val="24"/>
          <w:szCs w:val="24"/>
        </w:rPr>
        <w:t>漏电保护</w:t>
      </w:r>
      <w:r>
        <w:rPr>
          <w:rFonts w:hint="eastAsia" w:ascii="宋体" w:hAnsi="宋体" w:eastAsia="宋体" w:cs="Times New Roman"/>
          <w:color w:val="auto"/>
          <w:sz w:val="24"/>
          <w:szCs w:val="24"/>
        </w:rPr>
        <w:t>装置。</w:t>
      </w:r>
      <w:r>
        <w:rPr>
          <w:rFonts w:ascii="宋体" w:hAnsi="宋体" w:eastAsia="宋体" w:cs="Times New Roman"/>
          <w:color w:val="auto"/>
          <w:sz w:val="24"/>
          <w:szCs w:val="24"/>
        </w:rPr>
        <w:t>院区建筑整体比较老旧，破损的电线可能隐藏在墙内或者</w:t>
      </w:r>
      <w:r>
        <w:rPr>
          <w:rFonts w:hint="eastAsia" w:ascii="宋体" w:hAnsi="宋体" w:eastAsia="宋体" w:cs="Times New Roman"/>
          <w:color w:val="auto"/>
          <w:sz w:val="24"/>
          <w:szCs w:val="24"/>
        </w:rPr>
        <w:t>比较</w:t>
      </w:r>
      <w:r>
        <w:rPr>
          <w:rFonts w:ascii="宋体" w:hAnsi="宋体" w:eastAsia="宋体" w:cs="Times New Roman"/>
          <w:color w:val="auto"/>
          <w:sz w:val="24"/>
          <w:szCs w:val="24"/>
        </w:rPr>
        <w:t>隐蔽</w:t>
      </w:r>
      <w:r>
        <w:rPr>
          <w:rFonts w:hint="eastAsia" w:ascii="宋体" w:hAnsi="宋体" w:eastAsia="宋体" w:cs="Times New Roman"/>
          <w:color w:val="auto"/>
          <w:sz w:val="24"/>
          <w:szCs w:val="24"/>
        </w:rPr>
        <w:t>的</w:t>
      </w:r>
      <w:r>
        <w:rPr>
          <w:rFonts w:ascii="宋体" w:hAnsi="宋体" w:eastAsia="宋体" w:cs="Times New Roman"/>
          <w:color w:val="auto"/>
          <w:sz w:val="24"/>
          <w:szCs w:val="24"/>
        </w:rPr>
        <w:t>地方，</w:t>
      </w:r>
      <w:r>
        <w:rPr>
          <w:rFonts w:hint="eastAsia" w:ascii="宋体" w:hAnsi="宋体" w:eastAsia="宋体" w:cs="Times New Roman"/>
          <w:color w:val="auto"/>
          <w:sz w:val="24"/>
          <w:szCs w:val="24"/>
        </w:rPr>
        <w:t>一旦发生</w:t>
      </w:r>
      <w:r>
        <w:rPr>
          <w:rFonts w:ascii="宋体" w:hAnsi="宋体" w:eastAsia="宋体" w:cs="Times New Roman"/>
          <w:color w:val="auto"/>
          <w:sz w:val="24"/>
          <w:szCs w:val="24"/>
        </w:rPr>
        <w:t>线路漏电、设备绝缘</w:t>
      </w:r>
      <w:r>
        <w:rPr>
          <w:rFonts w:hint="eastAsia" w:ascii="宋体" w:hAnsi="宋体" w:eastAsia="宋体" w:cs="Times New Roman"/>
          <w:color w:val="auto"/>
          <w:sz w:val="24"/>
          <w:szCs w:val="24"/>
        </w:rPr>
        <w:t>破损</w:t>
      </w:r>
      <w:r>
        <w:rPr>
          <w:rFonts w:ascii="宋体" w:hAnsi="宋体" w:eastAsia="宋体" w:cs="Times New Roman"/>
          <w:color w:val="auto"/>
          <w:sz w:val="24"/>
          <w:szCs w:val="24"/>
        </w:rPr>
        <w:t>等</w:t>
      </w:r>
      <w:r>
        <w:rPr>
          <w:rFonts w:hint="eastAsia" w:ascii="宋体" w:hAnsi="宋体" w:eastAsia="宋体" w:cs="Times New Roman"/>
          <w:color w:val="auto"/>
          <w:sz w:val="24"/>
          <w:szCs w:val="24"/>
        </w:rPr>
        <w:t>异常</w:t>
      </w:r>
      <w:r>
        <w:rPr>
          <w:rFonts w:ascii="宋体" w:hAnsi="宋体" w:eastAsia="宋体" w:cs="Times New Roman"/>
          <w:color w:val="auto"/>
          <w:sz w:val="24"/>
          <w:szCs w:val="24"/>
        </w:rPr>
        <w:t>引起的停电</w:t>
      </w:r>
      <w:r>
        <w:rPr>
          <w:rFonts w:hint="eastAsia" w:ascii="宋体" w:hAnsi="宋体" w:eastAsia="宋体" w:cs="Times New Roman"/>
          <w:color w:val="auto"/>
          <w:sz w:val="24"/>
          <w:szCs w:val="24"/>
        </w:rPr>
        <w:t>时</w:t>
      </w:r>
      <w:r>
        <w:rPr>
          <w:rFonts w:ascii="宋体" w:hAnsi="宋体" w:eastAsia="宋体" w:cs="Times New Roman"/>
          <w:color w:val="auto"/>
          <w:sz w:val="24"/>
          <w:szCs w:val="24"/>
        </w:rPr>
        <w:t>，无法快速切断故障回路，</w:t>
      </w:r>
      <w:r>
        <w:rPr>
          <w:rFonts w:hint="eastAsia" w:ascii="宋体" w:hAnsi="宋体" w:eastAsia="宋体" w:cs="Times New Roman"/>
          <w:color w:val="auto"/>
          <w:sz w:val="24"/>
          <w:szCs w:val="24"/>
        </w:rPr>
        <w:t>极</w:t>
      </w:r>
      <w:r>
        <w:rPr>
          <w:rFonts w:ascii="宋体" w:hAnsi="宋体" w:eastAsia="宋体" w:cs="Times New Roman"/>
          <w:color w:val="auto"/>
          <w:sz w:val="24"/>
          <w:szCs w:val="24"/>
        </w:rPr>
        <w:t>易引起人员触电、电</w:t>
      </w:r>
      <w:r>
        <w:rPr>
          <w:rFonts w:hint="eastAsia" w:ascii="宋体" w:hAnsi="宋体" w:eastAsia="宋体" w:cs="Times New Roman"/>
          <w:color w:val="auto"/>
          <w:sz w:val="24"/>
          <w:szCs w:val="24"/>
        </w:rPr>
        <w:t>气</w:t>
      </w:r>
      <w:r>
        <w:rPr>
          <w:rFonts w:ascii="宋体" w:hAnsi="宋体" w:eastAsia="宋体" w:cs="Times New Roman"/>
          <w:color w:val="auto"/>
          <w:sz w:val="24"/>
          <w:szCs w:val="24"/>
        </w:rPr>
        <w:t>起火事故</w:t>
      </w:r>
      <w:r>
        <w:rPr>
          <w:rFonts w:hint="eastAsia" w:ascii="宋体" w:hAnsi="宋体" w:eastAsia="宋体" w:cs="Times New Roman"/>
          <w:color w:val="auto"/>
          <w:sz w:val="24"/>
          <w:szCs w:val="24"/>
        </w:rPr>
        <w:t>，</w:t>
      </w:r>
      <w:r>
        <w:rPr>
          <w:rFonts w:ascii="宋体" w:hAnsi="宋体" w:eastAsia="宋体" w:cs="Times New Roman"/>
          <w:color w:val="auto"/>
          <w:sz w:val="24"/>
          <w:szCs w:val="24"/>
        </w:rPr>
        <w:t>存在</w:t>
      </w:r>
      <w:r>
        <w:rPr>
          <w:rFonts w:hint="eastAsia" w:ascii="宋体" w:hAnsi="宋体" w:eastAsia="宋体" w:cs="Times New Roman"/>
          <w:color w:val="auto"/>
          <w:sz w:val="24"/>
          <w:szCs w:val="24"/>
        </w:rPr>
        <w:t>人身</w:t>
      </w:r>
      <w:r>
        <w:rPr>
          <w:rFonts w:ascii="宋体" w:hAnsi="宋体" w:eastAsia="宋体" w:cs="Times New Roman"/>
          <w:color w:val="auto"/>
          <w:sz w:val="24"/>
          <w:szCs w:val="24"/>
        </w:rPr>
        <w:t>及用电安全隐患。</w:t>
      </w:r>
    </w:p>
    <w:p w14:paraId="3145BE10">
      <w:pPr>
        <w:spacing w:line="360" w:lineRule="auto"/>
        <w:jc w:val="left"/>
        <w:rPr>
          <w:rFonts w:hint="eastAsia" w:ascii="宋体" w:hAnsi="宋体" w:eastAsia="宋体" w:cs="Times New Roman"/>
          <w:color w:val="auto"/>
          <w:sz w:val="24"/>
          <w:szCs w:val="24"/>
        </w:rPr>
      </w:pPr>
      <w:r>
        <w:rPr>
          <w:rFonts w:hint="eastAsia" w:ascii="宋体" w:hAnsi="宋体" w:eastAsia="宋体" w:cs="Times New Roman"/>
          <w:color w:val="auto"/>
          <w:sz w:val="24"/>
          <w:szCs w:val="24"/>
        </w:rPr>
        <w:t>（5）配电房内</w:t>
      </w:r>
      <w:r>
        <w:rPr>
          <w:rFonts w:ascii="宋体" w:hAnsi="宋体" w:eastAsia="宋体" w:cs="Times New Roman"/>
          <w:color w:val="auto"/>
          <w:sz w:val="24"/>
          <w:szCs w:val="24"/>
        </w:rPr>
        <w:t>未配置相关的火灾报警、</w:t>
      </w:r>
      <w:r>
        <w:rPr>
          <w:rFonts w:hint="eastAsia" w:ascii="宋体" w:hAnsi="宋体" w:eastAsia="宋体" w:cs="Times New Roman"/>
          <w:color w:val="auto"/>
          <w:sz w:val="24"/>
          <w:szCs w:val="24"/>
        </w:rPr>
        <w:t>进水监测、驱鼠</w:t>
      </w:r>
      <w:r>
        <w:rPr>
          <w:rFonts w:ascii="宋体" w:hAnsi="宋体" w:eastAsia="宋体" w:cs="Times New Roman"/>
          <w:color w:val="auto"/>
          <w:sz w:val="24"/>
          <w:szCs w:val="24"/>
        </w:rPr>
        <w:t>装置等</w:t>
      </w:r>
      <w:r>
        <w:rPr>
          <w:rFonts w:hint="eastAsia" w:ascii="宋体" w:hAnsi="宋体" w:eastAsia="宋体" w:cs="Times New Roman"/>
          <w:color w:val="auto"/>
          <w:sz w:val="24"/>
          <w:szCs w:val="24"/>
        </w:rPr>
        <w:t>环境</w:t>
      </w:r>
      <w:r>
        <w:rPr>
          <w:rFonts w:ascii="宋体" w:hAnsi="宋体" w:eastAsia="宋体" w:cs="Times New Roman"/>
          <w:color w:val="auto"/>
          <w:sz w:val="24"/>
          <w:szCs w:val="24"/>
        </w:rPr>
        <w:t>监测</w:t>
      </w:r>
      <w:r>
        <w:rPr>
          <w:rFonts w:hint="eastAsia" w:ascii="宋体" w:hAnsi="宋体" w:eastAsia="宋体" w:cs="Times New Roman"/>
          <w:color w:val="auto"/>
          <w:sz w:val="24"/>
          <w:szCs w:val="24"/>
        </w:rPr>
        <w:t>设备，如果发生进水、小动物入侵等事情，一旦配电房发生异常，这些信息不能被及时发现，存在重大用电安全隐患。</w:t>
      </w:r>
    </w:p>
    <w:p w14:paraId="5B9938EA">
      <w:pPr>
        <w:spacing w:line="360" w:lineRule="auto"/>
        <w:jc w:val="left"/>
        <w:rPr>
          <w:rFonts w:hint="eastAsia" w:ascii="宋体" w:hAnsi="宋体" w:eastAsia="宋体" w:cs="Times New Roman"/>
          <w:color w:val="auto"/>
          <w:sz w:val="24"/>
          <w:szCs w:val="24"/>
        </w:rPr>
      </w:pPr>
      <w:r>
        <w:rPr>
          <w:rFonts w:hint="eastAsia" w:ascii="宋体" w:hAnsi="宋体" w:eastAsia="宋体" w:cs="Times New Roman"/>
          <w:color w:val="auto"/>
          <w:sz w:val="24"/>
          <w:szCs w:val="24"/>
        </w:rPr>
        <w:t>（6）配电房内配电设备的日常巡检、故障记录和检修维护等没有建立清晰的、完整的电子档案，不能随时提供查询，导致设备</w:t>
      </w:r>
      <w:r>
        <w:rPr>
          <w:rFonts w:ascii="宋体" w:hAnsi="宋体" w:eastAsia="宋体" w:cs="Times New Roman"/>
          <w:color w:val="auto"/>
          <w:sz w:val="24"/>
          <w:szCs w:val="24"/>
        </w:rPr>
        <w:t>履历追溯困难，检修缺乏依据</w:t>
      </w:r>
      <w:r>
        <w:rPr>
          <w:rFonts w:hint="eastAsia" w:ascii="宋体" w:hAnsi="宋体" w:eastAsia="宋体" w:cs="Times New Roman"/>
          <w:color w:val="auto"/>
          <w:sz w:val="24"/>
          <w:szCs w:val="24"/>
        </w:rPr>
        <w:t>。</w:t>
      </w:r>
    </w:p>
    <w:p w14:paraId="767FE290">
      <w:pPr>
        <w:spacing w:line="360" w:lineRule="auto"/>
        <w:jc w:val="left"/>
        <w:rPr>
          <w:rFonts w:hint="eastAsia" w:ascii="宋体" w:hAnsi="宋体" w:eastAsia="宋体" w:cs="Times New Roman"/>
          <w:color w:val="auto"/>
          <w:sz w:val="24"/>
          <w:szCs w:val="24"/>
        </w:rPr>
      </w:pPr>
      <w:r>
        <w:rPr>
          <w:rFonts w:hint="eastAsia" w:ascii="宋体" w:hAnsi="宋体" w:eastAsia="宋体" w:cs="Times New Roman"/>
          <w:color w:val="auto"/>
          <w:sz w:val="24"/>
          <w:szCs w:val="24"/>
        </w:rPr>
        <w:t>（7）变电站</w:t>
      </w:r>
      <w:r>
        <w:rPr>
          <w:rFonts w:ascii="宋体" w:hAnsi="宋体" w:eastAsia="宋体" w:cs="Times New Roman"/>
          <w:color w:val="auto"/>
          <w:sz w:val="24"/>
          <w:szCs w:val="24"/>
        </w:rPr>
        <w:t>未配置</w:t>
      </w:r>
      <w:r>
        <w:rPr>
          <w:rFonts w:hint="eastAsia" w:ascii="宋体" w:hAnsi="宋体" w:eastAsia="宋体" w:cs="Times New Roman"/>
          <w:color w:val="auto"/>
          <w:sz w:val="24"/>
          <w:szCs w:val="24"/>
        </w:rPr>
        <w:t>任何</w:t>
      </w:r>
      <w:r>
        <w:rPr>
          <w:rFonts w:ascii="宋体" w:hAnsi="宋体" w:eastAsia="宋体" w:cs="Times New Roman"/>
          <w:color w:val="auto"/>
          <w:sz w:val="24"/>
          <w:szCs w:val="24"/>
        </w:rPr>
        <w:t>的</w:t>
      </w:r>
      <w:r>
        <w:rPr>
          <w:rFonts w:hint="eastAsia" w:ascii="宋体" w:hAnsi="宋体" w:eastAsia="宋体" w:cs="Times New Roman"/>
          <w:color w:val="auto"/>
          <w:sz w:val="24"/>
          <w:szCs w:val="24"/>
        </w:rPr>
        <w:t>电力</w:t>
      </w:r>
      <w:r>
        <w:rPr>
          <w:rFonts w:ascii="宋体" w:hAnsi="宋体" w:eastAsia="宋体" w:cs="Times New Roman"/>
          <w:color w:val="auto"/>
          <w:sz w:val="24"/>
          <w:szCs w:val="24"/>
        </w:rPr>
        <w:t>监控系统</w:t>
      </w:r>
      <w:r>
        <w:rPr>
          <w:rFonts w:hint="eastAsia" w:ascii="宋体" w:hAnsi="宋体" w:eastAsia="宋体" w:cs="Times New Roman"/>
          <w:color w:val="auto"/>
          <w:sz w:val="24"/>
          <w:szCs w:val="24"/>
        </w:rPr>
        <w:t>，站内电力数据不能实时地、集中统一管理，导致</w:t>
      </w:r>
      <w:r>
        <w:rPr>
          <w:rFonts w:ascii="宋体" w:hAnsi="宋体" w:eastAsia="宋体" w:cs="Times New Roman"/>
          <w:color w:val="auto"/>
          <w:sz w:val="24"/>
          <w:szCs w:val="24"/>
        </w:rPr>
        <w:t>人工巡检</w:t>
      </w:r>
      <w:r>
        <w:rPr>
          <w:rFonts w:hint="eastAsia" w:ascii="宋体" w:hAnsi="宋体" w:eastAsia="宋体" w:cs="Times New Roman"/>
          <w:color w:val="auto"/>
          <w:sz w:val="24"/>
          <w:szCs w:val="24"/>
        </w:rPr>
        <w:t>无法</w:t>
      </w:r>
      <w:r>
        <w:rPr>
          <w:rFonts w:ascii="宋体" w:hAnsi="宋体" w:eastAsia="宋体" w:cs="Times New Roman"/>
          <w:color w:val="auto"/>
          <w:sz w:val="24"/>
          <w:szCs w:val="24"/>
        </w:rPr>
        <w:t>及时发现漏电、</w:t>
      </w:r>
      <w:r>
        <w:rPr>
          <w:rFonts w:hint="eastAsia" w:ascii="宋体" w:hAnsi="宋体" w:eastAsia="宋体" w:cs="Times New Roman"/>
          <w:color w:val="auto"/>
          <w:sz w:val="24"/>
          <w:szCs w:val="24"/>
        </w:rPr>
        <w:t>短路</w:t>
      </w:r>
      <w:r>
        <w:rPr>
          <w:rFonts w:ascii="宋体" w:hAnsi="宋体" w:eastAsia="宋体" w:cs="Times New Roman"/>
          <w:color w:val="auto"/>
          <w:sz w:val="24"/>
          <w:szCs w:val="24"/>
        </w:rPr>
        <w:t>、超温、过载</w:t>
      </w:r>
      <w:r>
        <w:rPr>
          <w:rFonts w:hint="eastAsia" w:ascii="宋体" w:hAnsi="宋体" w:eastAsia="宋体" w:cs="Times New Roman"/>
          <w:color w:val="auto"/>
          <w:sz w:val="24"/>
          <w:szCs w:val="24"/>
        </w:rPr>
        <w:t>等事故</w:t>
      </w:r>
      <w:r>
        <w:rPr>
          <w:rFonts w:ascii="宋体" w:hAnsi="宋体" w:eastAsia="宋体" w:cs="Times New Roman"/>
          <w:color w:val="auto"/>
          <w:sz w:val="24"/>
          <w:szCs w:val="24"/>
        </w:rPr>
        <w:t>隐患</w:t>
      </w:r>
      <w:r>
        <w:rPr>
          <w:rFonts w:hint="eastAsia" w:ascii="宋体" w:hAnsi="宋体" w:eastAsia="宋体" w:cs="Times New Roman"/>
          <w:color w:val="auto"/>
          <w:sz w:val="24"/>
          <w:szCs w:val="24"/>
        </w:rPr>
        <w:t>，</w:t>
      </w:r>
      <w:r>
        <w:rPr>
          <w:rFonts w:hint="eastAsia" w:ascii="Times New Roman" w:hAnsi="Times New Roman" w:eastAsia="宋体" w:cs="Times New Roman"/>
          <w:color w:val="auto"/>
          <w:sz w:val="24"/>
          <w:szCs w:val="24"/>
        </w:rPr>
        <w:t>虽然</w:t>
      </w:r>
      <w:r>
        <w:rPr>
          <w:rFonts w:hint="eastAsia" w:ascii="宋体" w:hAnsi="宋体" w:eastAsia="宋体" w:cs="Times New Roman"/>
          <w:color w:val="auto"/>
          <w:sz w:val="24"/>
          <w:szCs w:val="24"/>
        </w:rPr>
        <w:t>巡检人员工作量巨大，但</w:t>
      </w:r>
      <w:r>
        <w:rPr>
          <w:rFonts w:ascii="宋体" w:hAnsi="宋体" w:eastAsia="宋体" w:cs="Times New Roman"/>
          <w:color w:val="auto"/>
          <w:sz w:val="24"/>
          <w:szCs w:val="24"/>
        </w:rPr>
        <w:t>是</w:t>
      </w:r>
      <w:r>
        <w:rPr>
          <w:rFonts w:hint="eastAsia" w:ascii="宋体" w:hAnsi="宋体" w:eastAsia="宋体" w:cs="Times New Roman"/>
          <w:color w:val="auto"/>
          <w:sz w:val="24"/>
          <w:szCs w:val="24"/>
        </w:rPr>
        <w:t>工作效率却很低。</w:t>
      </w:r>
    </w:p>
    <w:p w14:paraId="452A2CE2">
      <w:pPr>
        <w:spacing w:line="360" w:lineRule="auto"/>
        <w:ind w:firstLine="480"/>
        <w:jc w:val="left"/>
        <w:rPr>
          <w:rFonts w:hint="eastAsia" w:ascii="宋体" w:hAnsi="宋体" w:eastAsia="宋体" w:cs="Times New Roman"/>
          <w:color w:val="auto"/>
          <w:sz w:val="24"/>
          <w:szCs w:val="24"/>
        </w:rPr>
      </w:pPr>
      <w:r>
        <w:rPr>
          <w:rFonts w:hint="eastAsia" w:ascii="宋体" w:hAnsi="宋体" w:eastAsia="宋体" w:cs="Times New Roman"/>
          <w:color w:val="auto"/>
          <w:sz w:val="24"/>
          <w:szCs w:val="24"/>
        </w:rPr>
        <w:t>以上情况导致医院配电系统长期处于</w:t>
      </w:r>
      <w:r>
        <w:rPr>
          <w:rFonts w:hint="eastAsia" w:ascii="宋体" w:hAnsi="宋体" w:eastAsia="宋体" w:cs="Times New Roman"/>
          <w:color w:val="auto"/>
          <w:sz w:val="24"/>
          <w:szCs w:val="24"/>
        </w:rPr>
        <w:t>监管不到位</w:t>
      </w:r>
      <w:r>
        <w:rPr>
          <w:rFonts w:hint="eastAsia" w:ascii="宋体" w:hAnsi="宋体" w:eastAsia="宋体" w:cs="Times New Roman"/>
          <w:color w:val="auto"/>
          <w:sz w:val="24"/>
          <w:szCs w:val="24"/>
        </w:rPr>
        <w:t>状况，无法确保医院电力设备的安全运行和人员人身安全，同时电力设备运行环境也长期处在监管盲区，使得整个用电系统的运行存在巨大安全隐患。</w:t>
      </w:r>
    </w:p>
    <w:p w14:paraId="12D5EF9A">
      <w:pPr>
        <w:spacing w:before="120" w:after="120" w:line="360" w:lineRule="auto"/>
        <w:jc w:val="left"/>
        <w:outlineLvl w:val="0"/>
        <w:rPr>
          <w:rFonts w:ascii="宋体" w:hAnsi="宋体" w:eastAsia="宋体"/>
          <w:b/>
          <w:bCs/>
          <w:color w:val="auto"/>
          <w:sz w:val="30"/>
          <w:szCs w:val="30"/>
        </w:rPr>
      </w:pPr>
      <w:bookmarkStart w:id="13" w:name="_Toc51141106"/>
      <w:bookmarkStart w:id="14" w:name="_Toc71640034"/>
      <w:bookmarkStart w:id="15" w:name="_Toc244176384"/>
      <w:bookmarkStart w:id="16" w:name="_Toc244176115"/>
      <w:r>
        <w:rPr>
          <w:rFonts w:hint="eastAsia" w:ascii="宋体" w:hAnsi="宋体" w:eastAsia="宋体"/>
          <w:b/>
          <w:bCs/>
          <w:color w:val="auto"/>
          <w:sz w:val="30"/>
          <w:szCs w:val="30"/>
        </w:rPr>
        <w:t>三、</w:t>
      </w:r>
      <w:bookmarkEnd w:id="13"/>
      <w:r>
        <w:rPr>
          <w:rFonts w:hint="eastAsia" w:ascii="宋体" w:hAnsi="宋体" w:eastAsia="宋体"/>
          <w:b/>
          <w:bCs/>
          <w:color w:val="auto"/>
          <w:sz w:val="30"/>
          <w:szCs w:val="30"/>
        </w:rPr>
        <w:t>总体</w:t>
      </w:r>
      <w:r>
        <w:rPr>
          <w:rFonts w:ascii="宋体" w:hAnsi="宋体" w:eastAsia="宋体"/>
          <w:b/>
          <w:bCs/>
          <w:color w:val="auto"/>
          <w:sz w:val="30"/>
          <w:szCs w:val="30"/>
        </w:rPr>
        <w:t>设计方案</w:t>
      </w:r>
      <w:bookmarkEnd w:id="14"/>
      <w:bookmarkEnd w:id="15"/>
      <w:bookmarkEnd w:id="16"/>
    </w:p>
    <w:p w14:paraId="3455A6A3">
      <w:pPr>
        <w:spacing w:before="120" w:after="120" w:line="360" w:lineRule="auto"/>
        <w:jc w:val="left"/>
        <w:outlineLvl w:val="1"/>
        <w:rPr>
          <w:rFonts w:ascii="宋体" w:hAnsi="宋体" w:eastAsia="宋体"/>
          <w:b/>
          <w:bCs/>
          <w:color w:val="auto"/>
          <w:sz w:val="28"/>
          <w:szCs w:val="28"/>
        </w:rPr>
      </w:pPr>
      <w:bookmarkStart w:id="17" w:name="_Toc51141107"/>
      <w:bookmarkStart w:id="18" w:name="_Toc71640035"/>
      <w:bookmarkStart w:id="19" w:name="_Toc244176116"/>
      <w:bookmarkStart w:id="20" w:name="_Toc244176385"/>
      <w:r>
        <w:rPr>
          <w:rFonts w:hint="eastAsia" w:ascii="宋体" w:hAnsi="宋体" w:eastAsia="宋体"/>
          <w:b/>
          <w:bCs/>
          <w:color w:val="auto"/>
          <w:sz w:val="28"/>
          <w:szCs w:val="28"/>
        </w:rPr>
        <w:t xml:space="preserve">3.1 </w:t>
      </w:r>
      <w:bookmarkEnd w:id="17"/>
      <w:bookmarkStart w:id="21" w:name="_Toc46160706"/>
      <w:bookmarkStart w:id="22" w:name="_Toc51141108"/>
      <w:r>
        <w:rPr>
          <w:rFonts w:hint="eastAsia" w:ascii="宋体" w:hAnsi="宋体" w:eastAsia="宋体"/>
          <w:b/>
          <w:bCs/>
          <w:color w:val="auto"/>
          <w:sz w:val="28"/>
          <w:szCs w:val="28"/>
        </w:rPr>
        <w:t>设计</w:t>
      </w:r>
      <w:bookmarkEnd w:id="18"/>
      <w:bookmarkEnd w:id="21"/>
      <w:bookmarkEnd w:id="22"/>
      <w:r>
        <w:rPr>
          <w:rFonts w:hint="eastAsia" w:ascii="宋体" w:hAnsi="宋体" w:eastAsia="宋体"/>
          <w:b/>
          <w:bCs/>
          <w:color w:val="auto"/>
          <w:sz w:val="28"/>
          <w:szCs w:val="28"/>
        </w:rPr>
        <w:t>原则</w:t>
      </w:r>
      <w:bookmarkEnd w:id="19"/>
      <w:bookmarkEnd w:id="20"/>
    </w:p>
    <w:p w14:paraId="0911FF89">
      <w:pPr>
        <w:widowControl/>
        <w:adjustRightInd w:val="0"/>
        <w:snapToGrid w:val="0"/>
        <w:spacing w:line="360" w:lineRule="auto"/>
        <w:ind w:firstLine="480" w:firstLineChars="200"/>
        <w:rPr>
          <w:rFonts w:hint="eastAsia" w:ascii="宋体" w:hAnsi="宋体" w:eastAsia="宋体"/>
          <w:color w:val="auto"/>
          <w:sz w:val="24"/>
          <w:szCs w:val="24"/>
        </w:rPr>
      </w:pPr>
      <w:r>
        <w:rPr>
          <w:rFonts w:hint="eastAsia" w:ascii="宋体" w:hAnsi="宋体" w:eastAsia="宋体"/>
          <w:color w:val="auto"/>
          <w:sz w:val="24"/>
          <w:szCs w:val="24"/>
        </w:rPr>
        <w:t>根据国内无人值守变电站的发展趋势和变电站巡检制度，结合变电站综合自动化及辅助监控系统的实践经验，</w:t>
      </w:r>
      <w:r>
        <w:rPr>
          <w:rFonts w:hint="eastAsia" w:ascii="宋体" w:hAnsi="宋体" w:eastAsia="宋体"/>
          <w:color w:val="auto"/>
          <w:sz w:val="24"/>
          <w:szCs w:val="24"/>
          <w:lang w:val="en-US" w:eastAsia="zh-CN"/>
        </w:rPr>
        <w:t>本次招标的</w:t>
      </w:r>
      <w:r>
        <w:rPr>
          <w:rFonts w:hint="eastAsia" w:ascii="宋体" w:hAnsi="宋体" w:eastAsia="宋体"/>
          <w:color w:val="auto"/>
          <w:sz w:val="24"/>
          <w:szCs w:val="24"/>
        </w:rPr>
        <w:t>系统</w:t>
      </w:r>
      <w:r>
        <w:rPr>
          <w:rFonts w:hint="eastAsia" w:ascii="宋体" w:hAnsi="宋体" w:eastAsia="宋体"/>
          <w:color w:val="auto"/>
          <w:sz w:val="24"/>
          <w:szCs w:val="24"/>
          <w:lang w:val="en-US" w:eastAsia="zh-CN"/>
        </w:rPr>
        <w:t>在</w:t>
      </w:r>
      <w:r>
        <w:rPr>
          <w:rFonts w:hint="eastAsia" w:ascii="宋体" w:hAnsi="宋体" w:eastAsia="宋体"/>
          <w:color w:val="auto"/>
          <w:sz w:val="24"/>
          <w:szCs w:val="24"/>
        </w:rPr>
        <w:t>进行方案设计时遵循“技术先进，实用可靠，扩展性好，有利管理，投资合理”的原则。</w:t>
      </w:r>
    </w:p>
    <w:p w14:paraId="2975F3DA">
      <w:pPr>
        <w:widowControl/>
        <w:numPr>
          <w:ilvl w:val="0"/>
          <w:numId w:val="4"/>
        </w:numPr>
        <w:spacing w:line="360" w:lineRule="auto"/>
        <w:rPr>
          <w:rFonts w:hint="eastAsia" w:ascii="宋体" w:hAnsi="宋体" w:eastAsia="宋体"/>
          <w:b/>
          <w:bCs/>
          <w:color w:val="auto"/>
          <w:sz w:val="24"/>
          <w:szCs w:val="24"/>
        </w:rPr>
      </w:pPr>
      <w:r>
        <w:rPr>
          <w:rFonts w:hint="eastAsia" w:ascii="宋体" w:hAnsi="宋体" w:eastAsia="宋体"/>
          <w:b/>
          <w:bCs/>
          <w:color w:val="auto"/>
          <w:sz w:val="24"/>
          <w:szCs w:val="24"/>
        </w:rPr>
        <w:t>标准性</w:t>
      </w:r>
    </w:p>
    <w:p w14:paraId="2D18B0C3">
      <w:pPr>
        <w:pStyle w:val="18"/>
        <w:widowControl/>
        <w:adjustRightInd w:val="0"/>
        <w:snapToGrid w:val="0"/>
        <w:spacing w:after="0" w:line="360" w:lineRule="auto"/>
        <w:ind w:left="0" w:leftChars="0" w:firstLine="480" w:firstLineChars="200"/>
        <w:rPr>
          <w:rFonts w:hint="eastAsia" w:ascii="宋体" w:hAnsi="宋体" w:eastAsia="宋体"/>
          <w:b/>
          <w:bCs/>
          <w:color w:val="auto"/>
          <w:sz w:val="24"/>
          <w:szCs w:val="24"/>
        </w:rPr>
      </w:pPr>
      <w:r>
        <w:rPr>
          <w:rFonts w:hint="eastAsia" w:ascii="宋体" w:hAnsi="宋体" w:eastAsia="宋体"/>
          <w:color w:val="auto"/>
          <w:sz w:val="24"/>
          <w:szCs w:val="24"/>
          <w:lang w:val="en-US" w:eastAsia="zh-CN"/>
        </w:rPr>
        <w:t>本次招标的</w:t>
      </w:r>
      <w:r>
        <w:rPr>
          <w:rFonts w:hint="eastAsia" w:ascii="宋体" w:hAnsi="宋体" w:eastAsia="宋体"/>
          <w:color w:val="auto"/>
          <w:sz w:val="24"/>
          <w:szCs w:val="24"/>
        </w:rPr>
        <w:t>系统</w:t>
      </w:r>
      <w:r>
        <w:rPr>
          <w:rFonts w:hint="eastAsia" w:ascii="宋体" w:hAnsi="宋体" w:eastAsia="宋体"/>
          <w:color w:val="auto"/>
          <w:sz w:val="24"/>
          <w:szCs w:val="24"/>
        </w:rPr>
        <w:t>的设计和开发部署</w:t>
      </w:r>
      <w:r>
        <w:rPr>
          <w:rFonts w:hint="eastAsia" w:ascii="宋体" w:hAnsi="宋体" w:eastAsia="宋体"/>
          <w:color w:val="auto"/>
          <w:sz w:val="24"/>
          <w:szCs w:val="24"/>
          <w:lang w:val="en-US" w:eastAsia="zh-CN"/>
        </w:rPr>
        <w:t>需</w:t>
      </w:r>
      <w:r>
        <w:rPr>
          <w:rFonts w:hint="eastAsia" w:ascii="宋体" w:hAnsi="宋体" w:eastAsia="宋体"/>
          <w:color w:val="auto"/>
          <w:sz w:val="24"/>
          <w:szCs w:val="24"/>
        </w:rPr>
        <w:t>符合国家标准和技术规范。主要体现在系统的接口、数据、服务和操作均采用标准化设计。系统提供开放的接口，可与不同供应商的设备及软件系统互联互通，</w:t>
      </w:r>
      <w:r>
        <w:rPr>
          <w:rFonts w:ascii="宋体" w:hAnsi="宋体" w:eastAsia="宋体"/>
          <w:color w:val="auto"/>
          <w:sz w:val="24"/>
          <w:szCs w:val="24"/>
        </w:rPr>
        <w:t>从而满足系统未来接入其他平台的应用</w:t>
      </w:r>
      <w:r>
        <w:rPr>
          <w:rFonts w:hint="eastAsia" w:ascii="宋体" w:hAnsi="宋体" w:eastAsia="宋体"/>
          <w:color w:val="auto"/>
          <w:sz w:val="24"/>
          <w:szCs w:val="24"/>
        </w:rPr>
        <w:t>。</w:t>
      </w:r>
    </w:p>
    <w:p w14:paraId="2741F605">
      <w:pPr>
        <w:widowControl/>
        <w:numPr>
          <w:ilvl w:val="0"/>
          <w:numId w:val="4"/>
        </w:numPr>
        <w:adjustRightInd w:val="0"/>
        <w:snapToGrid w:val="0"/>
        <w:spacing w:line="360" w:lineRule="auto"/>
        <w:rPr>
          <w:rFonts w:hint="eastAsia" w:ascii="宋体" w:hAnsi="宋体" w:eastAsia="宋体"/>
          <w:b/>
          <w:bCs/>
          <w:color w:val="auto"/>
          <w:sz w:val="24"/>
          <w:szCs w:val="24"/>
        </w:rPr>
      </w:pPr>
      <w:r>
        <w:rPr>
          <w:rFonts w:hint="eastAsia" w:ascii="宋体" w:hAnsi="宋体" w:eastAsia="宋体"/>
          <w:b/>
          <w:bCs/>
          <w:color w:val="auto"/>
          <w:sz w:val="24"/>
          <w:szCs w:val="24"/>
        </w:rPr>
        <w:t>先进性</w:t>
      </w:r>
    </w:p>
    <w:p w14:paraId="2887D4BE">
      <w:pPr>
        <w:pStyle w:val="18"/>
        <w:widowControl/>
        <w:adjustRightInd w:val="0"/>
        <w:snapToGrid w:val="0"/>
        <w:spacing w:after="0" w:line="360" w:lineRule="auto"/>
        <w:ind w:left="0" w:leftChars="0" w:firstLine="480" w:firstLineChars="200"/>
        <w:rPr>
          <w:rFonts w:hint="eastAsia" w:ascii="宋体" w:hAnsi="宋体" w:eastAsia="宋体"/>
          <w:color w:val="auto"/>
          <w:sz w:val="24"/>
          <w:szCs w:val="24"/>
        </w:rPr>
      </w:pPr>
      <w:r>
        <w:rPr>
          <w:rFonts w:hint="eastAsia" w:ascii="宋体" w:hAnsi="宋体" w:eastAsia="宋体"/>
          <w:color w:val="auto"/>
          <w:sz w:val="24"/>
          <w:szCs w:val="24"/>
          <w:lang w:val="en-US" w:eastAsia="zh-CN"/>
        </w:rPr>
        <w:t>本次招标的</w:t>
      </w:r>
      <w:r>
        <w:rPr>
          <w:rFonts w:hint="eastAsia" w:ascii="宋体" w:hAnsi="宋体" w:eastAsia="宋体"/>
          <w:color w:val="auto"/>
          <w:sz w:val="24"/>
          <w:szCs w:val="24"/>
        </w:rPr>
        <w:t>系统</w:t>
      </w:r>
      <w:r>
        <w:rPr>
          <w:rFonts w:hint="eastAsia" w:ascii="宋体" w:hAnsi="宋体" w:eastAsia="宋体"/>
          <w:color w:val="auto"/>
          <w:sz w:val="24"/>
          <w:szCs w:val="24"/>
          <w:lang w:val="en-US" w:eastAsia="zh-CN"/>
        </w:rPr>
        <w:t>需</w:t>
      </w:r>
      <w:r>
        <w:rPr>
          <w:rFonts w:hint="eastAsia" w:ascii="宋体" w:hAnsi="宋体" w:eastAsia="宋体"/>
          <w:color w:val="auto"/>
          <w:sz w:val="24"/>
          <w:szCs w:val="24"/>
        </w:rPr>
        <w:t xml:space="preserve">充分考虑信息技术和信息需求的发展的趋势，在技术上具有一定的超前性。采用国际或国内通行的先进技术，以适应未来的应用需求。设计时保证所选用的硬件设备和软件系统的实用性和先进性，并具有较长生命周期和先进水平。    </w:t>
      </w:r>
    </w:p>
    <w:p w14:paraId="7DF935F7">
      <w:pPr>
        <w:pStyle w:val="18"/>
        <w:widowControl/>
        <w:adjustRightInd w:val="0"/>
        <w:snapToGrid w:val="0"/>
        <w:spacing w:after="0" w:line="360" w:lineRule="auto"/>
        <w:ind w:left="0" w:leftChars="0" w:firstLine="480" w:firstLineChars="200"/>
        <w:rPr>
          <w:rFonts w:hint="eastAsia" w:ascii="宋体" w:hAnsi="宋体" w:eastAsia="宋体"/>
          <w:color w:val="auto"/>
          <w:sz w:val="24"/>
          <w:szCs w:val="24"/>
        </w:rPr>
      </w:pPr>
      <w:r>
        <w:rPr>
          <w:rFonts w:hint="eastAsia" w:ascii="宋体" w:hAnsi="宋体" w:eastAsia="宋体"/>
          <w:color w:val="auto"/>
          <w:sz w:val="24"/>
          <w:szCs w:val="24"/>
          <w:lang w:val="en-US" w:eastAsia="zh-CN"/>
        </w:rPr>
        <w:t>本次招标的</w:t>
      </w:r>
      <w:r>
        <w:rPr>
          <w:rFonts w:hint="eastAsia" w:ascii="宋体" w:hAnsi="宋体" w:eastAsia="宋体"/>
          <w:color w:val="auto"/>
          <w:sz w:val="24"/>
          <w:szCs w:val="24"/>
        </w:rPr>
        <w:t>系统</w:t>
      </w:r>
      <w:r>
        <w:rPr>
          <w:rFonts w:hint="eastAsia" w:ascii="宋体" w:hAnsi="宋体" w:eastAsia="宋体"/>
          <w:color w:val="auto"/>
          <w:sz w:val="24"/>
          <w:szCs w:val="24"/>
        </w:rPr>
        <w:t>基于组态的设计理念，</w:t>
      </w:r>
      <w:r>
        <w:rPr>
          <w:rFonts w:hint="eastAsia" w:ascii="宋体" w:hAnsi="宋体" w:eastAsia="宋体"/>
          <w:color w:val="auto"/>
          <w:sz w:val="24"/>
          <w:szCs w:val="24"/>
          <w:lang w:val="en-US" w:eastAsia="zh-CN"/>
        </w:rPr>
        <w:t>实现</w:t>
      </w:r>
      <w:r>
        <w:rPr>
          <w:rFonts w:hint="eastAsia" w:ascii="宋体" w:hAnsi="宋体" w:eastAsia="宋体"/>
          <w:color w:val="auto"/>
          <w:sz w:val="24"/>
          <w:szCs w:val="24"/>
        </w:rPr>
        <w:t xml:space="preserve">以一套通用平台解决设备用电数据采集、现场SCADA监控、云平台数据分析、手机APP运维管理等四维一体的解决方案。    </w:t>
      </w:r>
    </w:p>
    <w:p w14:paraId="5C9846BB">
      <w:pPr>
        <w:widowControl/>
        <w:numPr>
          <w:ilvl w:val="0"/>
          <w:numId w:val="4"/>
        </w:numPr>
        <w:adjustRightInd w:val="0"/>
        <w:snapToGrid w:val="0"/>
        <w:spacing w:line="360" w:lineRule="auto"/>
        <w:rPr>
          <w:rFonts w:hint="eastAsia" w:ascii="宋体" w:hAnsi="宋体" w:eastAsia="宋体"/>
          <w:b/>
          <w:bCs/>
          <w:color w:val="auto"/>
          <w:sz w:val="24"/>
          <w:szCs w:val="24"/>
        </w:rPr>
      </w:pPr>
      <w:bookmarkStart w:id="23" w:name="_Toc71452196"/>
      <w:bookmarkStart w:id="24" w:name="_Toc71625356"/>
      <w:bookmarkStart w:id="25" w:name="_Toc72313314"/>
      <w:r>
        <w:rPr>
          <w:rFonts w:hint="eastAsia" w:ascii="宋体" w:hAnsi="宋体" w:eastAsia="宋体"/>
          <w:b/>
          <w:bCs/>
          <w:color w:val="auto"/>
          <w:sz w:val="24"/>
          <w:szCs w:val="24"/>
        </w:rPr>
        <w:t>稳定性</w:t>
      </w:r>
      <w:bookmarkEnd w:id="23"/>
      <w:bookmarkEnd w:id="24"/>
      <w:bookmarkEnd w:id="25"/>
    </w:p>
    <w:p w14:paraId="58DE5377">
      <w:pPr>
        <w:widowControl/>
        <w:adjustRightInd w:val="0"/>
        <w:snapToGrid w:val="0"/>
        <w:spacing w:line="360" w:lineRule="auto"/>
        <w:ind w:firstLine="480" w:firstLineChars="200"/>
        <w:rPr>
          <w:rFonts w:hint="eastAsia" w:ascii="宋体" w:hAnsi="宋体" w:eastAsia="宋体"/>
          <w:color w:val="auto"/>
          <w:sz w:val="24"/>
          <w:szCs w:val="24"/>
        </w:rPr>
      </w:pPr>
      <w:r>
        <w:rPr>
          <w:rFonts w:hint="eastAsia" w:ascii="宋体" w:hAnsi="宋体" w:eastAsia="宋体"/>
          <w:color w:val="auto"/>
          <w:sz w:val="24"/>
          <w:szCs w:val="24"/>
          <w:lang w:val="en-US" w:eastAsia="zh-CN"/>
        </w:rPr>
        <w:t>本次招标的</w:t>
      </w:r>
      <w:r>
        <w:rPr>
          <w:rFonts w:hint="eastAsia" w:ascii="宋体" w:hAnsi="宋体" w:eastAsia="宋体"/>
          <w:color w:val="auto"/>
          <w:sz w:val="24"/>
          <w:szCs w:val="24"/>
        </w:rPr>
        <w:t>系统</w:t>
      </w:r>
      <w:r>
        <w:rPr>
          <w:rFonts w:hint="eastAsia" w:ascii="宋体" w:hAnsi="宋体" w:eastAsia="宋体"/>
          <w:color w:val="auto"/>
          <w:sz w:val="24"/>
          <w:szCs w:val="24"/>
          <w:lang w:val="en-US" w:eastAsia="zh-CN"/>
        </w:rPr>
        <w:t>需无论</w:t>
      </w:r>
      <w:r>
        <w:rPr>
          <w:rFonts w:hint="eastAsia" w:ascii="宋体" w:hAnsi="宋体" w:eastAsia="宋体"/>
          <w:color w:val="auto"/>
          <w:sz w:val="24"/>
          <w:szCs w:val="24"/>
        </w:rPr>
        <w:t>从系统、结构、产品性能和设备选型</w:t>
      </w:r>
      <w:r>
        <w:rPr>
          <w:rFonts w:hint="eastAsia" w:ascii="宋体" w:hAnsi="宋体" w:eastAsia="宋体"/>
          <w:color w:val="auto"/>
          <w:sz w:val="24"/>
          <w:szCs w:val="24"/>
          <w:lang w:eastAsia="zh-CN"/>
        </w:rPr>
        <w:t>，</w:t>
      </w:r>
      <w:r>
        <w:rPr>
          <w:rFonts w:hint="eastAsia" w:ascii="宋体" w:hAnsi="宋体" w:eastAsia="宋体"/>
          <w:color w:val="auto"/>
          <w:sz w:val="24"/>
          <w:szCs w:val="24"/>
        </w:rPr>
        <w:t>还是到具体的实施方案，都要考虑到系统的稳定性，并且在系统集成过程中对硬件设备安装、操作系统应用、网络连接、数据库设计将尽可能完善的做出故障检测、诊断及处理策略，以保证系统的稳定性和可靠性，确保系统正常、稳定、可靠、连续地运行。</w:t>
      </w:r>
    </w:p>
    <w:p w14:paraId="4EE21915">
      <w:pPr>
        <w:widowControl/>
        <w:adjustRightInd w:val="0"/>
        <w:snapToGrid w:val="0"/>
        <w:spacing w:line="360" w:lineRule="auto"/>
        <w:ind w:firstLine="480" w:firstLineChars="200"/>
        <w:rPr>
          <w:rFonts w:hint="eastAsia" w:ascii="宋体" w:hAnsi="宋体" w:eastAsia="宋体"/>
          <w:b/>
          <w:bCs/>
          <w:color w:val="auto"/>
          <w:sz w:val="24"/>
          <w:szCs w:val="24"/>
        </w:rPr>
      </w:pPr>
      <w:r>
        <w:rPr>
          <w:rFonts w:hint="eastAsia" w:ascii="宋体" w:hAnsi="宋体" w:eastAsia="宋体"/>
          <w:color w:val="auto"/>
          <w:sz w:val="24"/>
          <w:szCs w:val="24"/>
        </w:rPr>
        <w:t>数据采集接收装置采用嵌入式实时Linux操作系统和专用的硬件结构，性能稳定可靠，保证系统整体稳定，尤其适合在环境比较复杂，可靠性要求较高的环境中运行。云平台系统服务端采用跨平台</w:t>
      </w:r>
      <w:r>
        <w:rPr>
          <w:rFonts w:ascii="宋体" w:hAnsi="宋体" w:eastAsia="宋体"/>
          <w:color w:val="auto"/>
          <w:sz w:val="24"/>
          <w:szCs w:val="24"/>
        </w:rPr>
        <w:t xml:space="preserve"> J2EE </w:t>
      </w:r>
      <w:r>
        <w:rPr>
          <w:rFonts w:hint="eastAsia" w:ascii="宋体" w:hAnsi="宋体" w:eastAsia="宋体"/>
          <w:color w:val="auto"/>
          <w:sz w:val="24"/>
          <w:szCs w:val="24"/>
        </w:rPr>
        <w:t>专业级开发</w:t>
      </w:r>
      <w:r>
        <w:rPr>
          <w:rFonts w:ascii="宋体" w:hAnsi="宋体" w:eastAsia="宋体"/>
          <w:color w:val="auto"/>
          <w:sz w:val="24"/>
          <w:szCs w:val="24"/>
        </w:rPr>
        <w:t>服务框架，支持 Linux、 Windows 等主流操作系统。</w:t>
      </w:r>
      <w:r>
        <w:rPr>
          <w:rFonts w:hint="eastAsia" w:ascii="宋体" w:hAnsi="宋体" w:eastAsia="宋体"/>
          <w:color w:val="auto"/>
          <w:sz w:val="24"/>
          <w:szCs w:val="24"/>
        </w:rPr>
        <w:t>客户端采用跨平台</w:t>
      </w:r>
      <w:r>
        <w:rPr>
          <w:rFonts w:ascii="宋体" w:hAnsi="宋体" w:eastAsia="宋体"/>
          <w:color w:val="auto"/>
          <w:sz w:val="24"/>
          <w:szCs w:val="24"/>
        </w:rPr>
        <w:t xml:space="preserve"> H5 WEB 技术，支持主流浏览器和操作系统。</w:t>
      </w:r>
      <w:r>
        <w:rPr>
          <w:rFonts w:hint="eastAsia" w:ascii="宋体" w:hAnsi="宋体" w:eastAsia="宋体"/>
          <w:color w:val="auto"/>
          <w:sz w:val="24"/>
          <w:szCs w:val="24"/>
        </w:rPr>
        <w:t>满足大数据采集、大容量数据存储和高并发的数据访问请求。</w:t>
      </w:r>
      <w:r>
        <w:rPr>
          <w:rFonts w:hint="eastAsia" w:ascii="宋体" w:hAnsi="宋体" w:eastAsia="宋体"/>
          <w:b/>
          <w:bCs/>
          <w:color w:val="auto"/>
          <w:sz w:val="24"/>
          <w:szCs w:val="24"/>
        </w:rPr>
        <w:t xml:space="preserve">  </w:t>
      </w:r>
    </w:p>
    <w:p w14:paraId="22A212ED">
      <w:pPr>
        <w:widowControl/>
        <w:numPr>
          <w:ilvl w:val="0"/>
          <w:numId w:val="4"/>
        </w:numPr>
        <w:adjustRightInd w:val="0"/>
        <w:snapToGrid w:val="0"/>
        <w:spacing w:line="360" w:lineRule="auto"/>
        <w:rPr>
          <w:rFonts w:hint="eastAsia" w:ascii="宋体" w:hAnsi="宋体" w:eastAsia="宋体"/>
          <w:b/>
          <w:bCs/>
          <w:color w:val="auto"/>
          <w:sz w:val="24"/>
          <w:szCs w:val="24"/>
        </w:rPr>
      </w:pPr>
      <w:bookmarkStart w:id="26" w:name="_Toc72313316"/>
      <w:bookmarkStart w:id="27" w:name="_Toc65741968"/>
      <w:bookmarkStart w:id="28" w:name="_Toc71452198"/>
      <w:bookmarkStart w:id="29" w:name="_Toc71625358"/>
      <w:r>
        <w:rPr>
          <w:rFonts w:hint="eastAsia" w:ascii="宋体" w:hAnsi="宋体" w:eastAsia="宋体"/>
          <w:b/>
          <w:bCs/>
          <w:color w:val="auto"/>
          <w:sz w:val="24"/>
          <w:szCs w:val="24"/>
        </w:rPr>
        <w:t>可操作性</w:t>
      </w:r>
      <w:bookmarkEnd w:id="26"/>
      <w:bookmarkEnd w:id="27"/>
      <w:bookmarkEnd w:id="28"/>
      <w:bookmarkEnd w:id="29"/>
      <w:r>
        <w:rPr>
          <w:rFonts w:hint="eastAsia" w:ascii="宋体" w:hAnsi="宋体" w:eastAsia="宋体"/>
          <w:b/>
          <w:bCs/>
          <w:color w:val="auto"/>
          <w:sz w:val="24"/>
          <w:szCs w:val="24"/>
        </w:rPr>
        <w:t xml:space="preserve"> </w:t>
      </w:r>
    </w:p>
    <w:p w14:paraId="049CFC24">
      <w:pPr>
        <w:widowControl/>
        <w:adjustRightInd w:val="0"/>
        <w:snapToGrid w:val="0"/>
        <w:spacing w:line="360" w:lineRule="auto"/>
        <w:rPr>
          <w:rFonts w:hint="eastAsia" w:ascii="宋体" w:hAnsi="宋体" w:eastAsia="宋体"/>
          <w:bCs/>
          <w:color w:val="auto"/>
          <w:sz w:val="24"/>
          <w:szCs w:val="24"/>
        </w:rPr>
      </w:pPr>
      <w:r>
        <w:rPr>
          <w:rFonts w:hint="eastAsia" w:ascii="宋体" w:hAnsi="宋体" w:eastAsia="宋体"/>
          <w:b/>
          <w:bCs/>
          <w:color w:val="auto"/>
          <w:sz w:val="24"/>
          <w:szCs w:val="24"/>
        </w:rPr>
        <w:t xml:space="preserve"> </w:t>
      </w:r>
      <w:r>
        <w:rPr>
          <w:rFonts w:ascii="宋体" w:hAnsi="宋体" w:eastAsia="宋体"/>
          <w:b/>
          <w:bCs/>
          <w:color w:val="auto"/>
          <w:sz w:val="24"/>
          <w:szCs w:val="24"/>
        </w:rPr>
        <w:t xml:space="preserve">  </w:t>
      </w:r>
      <w:r>
        <w:rPr>
          <w:rFonts w:ascii="宋体" w:hAnsi="宋体" w:eastAsia="宋体"/>
          <w:bCs/>
          <w:color w:val="auto"/>
          <w:sz w:val="24"/>
          <w:szCs w:val="24"/>
        </w:rPr>
        <w:t xml:space="preserve"> </w:t>
      </w:r>
      <w:r>
        <w:rPr>
          <w:rFonts w:hint="eastAsia" w:ascii="宋体" w:hAnsi="宋体" w:eastAsia="宋体"/>
          <w:bCs/>
          <w:color w:val="auto"/>
          <w:sz w:val="24"/>
          <w:szCs w:val="24"/>
        </w:rPr>
        <w:t>界面</w:t>
      </w:r>
      <w:r>
        <w:rPr>
          <w:rFonts w:ascii="宋体" w:hAnsi="宋体" w:eastAsia="宋体"/>
          <w:bCs/>
          <w:color w:val="auto"/>
          <w:sz w:val="24"/>
          <w:szCs w:val="24"/>
        </w:rPr>
        <w:t>友好</w:t>
      </w:r>
      <w:r>
        <w:rPr>
          <w:rFonts w:hint="eastAsia" w:ascii="宋体" w:hAnsi="宋体" w:eastAsia="宋体"/>
          <w:bCs/>
          <w:color w:val="auto"/>
          <w:sz w:val="24"/>
          <w:szCs w:val="24"/>
        </w:rPr>
        <w:t>，成分充分考虑操作人员的特点，使数据处理工作简单、方便、快捷，业务流程</w:t>
      </w:r>
      <w:r>
        <w:rPr>
          <w:rFonts w:ascii="宋体" w:hAnsi="宋体" w:eastAsia="宋体"/>
          <w:bCs/>
          <w:color w:val="auto"/>
          <w:sz w:val="24"/>
          <w:szCs w:val="24"/>
        </w:rPr>
        <w:t>清晰，符合</w:t>
      </w:r>
      <w:r>
        <w:rPr>
          <w:rFonts w:hint="eastAsia" w:ascii="宋体" w:hAnsi="宋体" w:eastAsia="宋体"/>
          <w:bCs/>
          <w:color w:val="auto"/>
          <w:sz w:val="24"/>
          <w:szCs w:val="24"/>
        </w:rPr>
        <w:t>常规</w:t>
      </w:r>
      <w:r>
        <w:rPr>
          <w:rFonts w:ascii="宋体" w:hAnsi="宋体" w:eastAsia="宋体"/>
          <w:bCs/>
          <w:color w:val="auto"/>
          <w:sz w:val="24"/>
          <w:szCs w:val="24"/>
        </w:rPr>
        <w:t>业务处理习惯，其中大部分的操作可以通过简单</w:t>
      </w:r>
    </w:p>
    <w:p w14:paraId="62ED558C">
      <w:pPr>
        <w:widowControl/>
        <w:adjustRightInd w:val="0"/>
        <w:snapToGrid w:val="0"/>
        <w:spacing w:line="360" w:lineRule="auto"/>
        <w:jc w:val="left"/>
        <w:rPr>
          <w:rFonts w:hint="eastAsia" w:ascii="宋体" w:hAnsi="宋体" w:eastAsia="宋体"/>
          <w:b/>
          <w:bCs/>
          <w:color w:val="auto"/>
          <w:sz w:val="24"/>
          <w:szCs w:val="24"/>
        </w:rPr>
      </w:pPr>
      <w:r>
        <w:rPr>
          <w:rFonts w:hint="eastAsia" w:ascii="宋体" w:hAnsi="宋体" w:eastAsia="宋体"/>
          <w:color w:val="auto"/>
          <w:sz w:val="24"/>
          <w:szCs w:val="24"/>
        </w:rPr>
        <w:t>培训即可掌握。系统数据维护方便，备份及数据恢复快速简单。</w:t>
      </w:r>
    </w:p>
    <w:p w14:paraId="429C6764">
      <w:pPr>
        <w:widowControl/>
        <w:numPr>
          <w:ilvl w:val="0"/>
          <w:numId w:val="4"/>
        </w:numPr>
        <w:adjustRightInd w:val="0"/>
        <w:snapToGrid w:val="0"/>
        <w:spacing w:line="360" w:lineRule="auto"/>
        <w:rPr>
          <w:rFonts w:hint="eastAsia" w:ascii="宋体" w:hAnsi="宋体" w:eastAsia="宋体"/>
          <w:b/>
          <w:bCs/>
          <w:color w:val="auto"/>
          <w:sz w:val="24"/>
          <w:szCs w:val="24"/>
        </w:rPr>
      </w:pPr>
      <w:bookmarkStart w:id="30" w:name="_Toc71625359"/>
      <w:bookmarkStart w:id="31" w:name="_Toc65741967"/>
      <w:bookmarkStart w:id="32" w:name="_Toc72313317"/>
      <w:bookmarkStart w:id="33" w:name="_Toc71452199"/>
      <w:r>
        <w:rPr>
          <w:rFonts w:hint="eastAsia" w:ascii="宋体" w:hAnsi="宋体" w:eastAsia="宋体"/>
          <w:b/>
          <w:bCs/>
          <w:color w:val="auto"/>
          <w:sz w:val="24"/>
          <w:szCs w:val="24"/>
        </w:rPr>
        <w:t>兼容性</w:t>
      </w:r>
      <w:bookmarkEnd w:id="30"/>
      <w:bookmarkEnd w:id="31"/>
      <w:bookmarkEnd w:id="32"/>
      <w:bookmarkEnd w:id="33"/>
    </w:p>
    <w:p w14:paraId="05373A34">
      <w:pPr>
        <w:widowControl/>
        <w:adjustRightInd w:val="0"/>
        <w:snapToGrid w:val="0"/>
        <w:spacing w:line="360" w:lineRule="auto"/>
        <w:ind w:firstLine="480" w:firstLineChars="200"/>
        <w:rPr>
          <w:rFonts w:hint="eastAsia" w:ascii="宋体" w:hAnsi="宋体" w:eastAsia="宋体"/>
          <w:color w:val="auto"/>
          <w:sz w:val="24"/>
          <w:szCs w:val="24"/>
        </w:rPr>
      </w:pPr>
      <w:r>
        <w:rPr>
          <w:rFonts w:hint="eastAsia" w:ascii="宋体" w:hAnsi="宋体" w:eastAsia="宋体"/>
          <w:color w:val="auto"/>
          <w:sz w:val="24"/>
          <w:szCs w:val="24"/>
          <w:lang w:val="en-US" w:eastAsia="zh-CN"/>
        </w:rPr>
        <w:t>本次招标的</w:t>
      </w:r>
      <w:r>
        <w:rPr>
          <w:rFonts w:hint="eastAsia" w:ascii="宋体" w:hAnsi="宋体" w:eastAsia="宋体"/>
          <w:color w:val="auto"/>
          <w:sz w:val="24"/>
          <w:szCs w:val="24"/>
        </w:rPr>
        <w:t>系统</w:t>
      </w:r>
      <w:r>
        <w:rPr>
          <w:rFonts w:hint="eastAsia" w:ascii="宋体" w:hAnsi="宋体" w:eastAsia="宋体"/>
          <w:color w:val="auto"/>
          <w:sz w:val="24"/>
          <w:szCs w:val="24"/>
        </w:rPr>
        <w:t>无需采用有别于为该软件准备的手段就可能适应不同的规定环境有关的软件属性，可以很好的对接目前及未来建设的相关软件平台，并可方便扩展后续的软件功能、接入非电量监测设备（震动、温度、雷达微波、视频等）的数据、子系统，适应现代智能管控的要求。</w:t>
      </w:r>
    </w:p>
    <w:p w14:paraId="32C08C52">
      <w:pPr>
        <w:widowControl/>
        <w:numPr>
          <w:ilvl w:val="0"/>
          <w:numId w:val="4"/>
        </w:numPr>
        <w:adjustRightInd w:val="0"/>
        <w:snapToGrid w:val="0"/>
        <w:spacing w:line="360" w:lineRule="auto"/>
        <w:rPr>
          <w:rFonts w:hint="eastAsia" w:ascii="宋体" w:hAnsi="宋体" w:eastAsia="宋体"/>
          <w:b/>
          <w:bCs/>
          <w:color w:val="auto"/>
          <w:sz w:val="24"/>
          <w:szCs w:val="24"/>
        </w:rPr>
      </w:pPr>
      <w:r>
        <w:rPr>
          <w:rFonts w:hint="eastAsia" w:ascii="宋体" w:hAnsi="宋体" w:eastAsia="宋体"/>
          <w:b/>
          <w:bCs/>
          <w:color w:val="auto"/>
          <w:sz w:val="24"/>
          <w:szCs w:val="24"/>
        </w:rPr>
        <w:t>可扩展性</w:t>
      </w:r>
    </w:p>
    <w:p w14:paraId="1FD3FECE">
      <w:pPr>
        <w:widowControl/>
        <w:adjustRightInd w:val="0"/>
        <w:snapToGrid w:val="0"/>
        <w:spacing w:line="360" w:lineRule="auto"/>
        <w:ind w:firstLine="480" w:firstLineChars="200"/>
        <w:rPr>
          <w:rFonts w:hint="eastAsia" w:ascii="宋体" w:hAnsi="宋体" w:eastAsia="宋体"/>
          <w:color w:val="auto"/>
          <w:sz w:val="24"/>
          <w:szCs w:val="24"/>
        </w:rPr>
      </w:pPr>
      <w:r>
        <w:rPr>
          <w:rFonts w:hint="eastAsia" w:ascii="宋体" w:hAnsi="宋体" w:eastAsia="宋体"/>
          <w:color w:val="auto"/>
          <w:sz w:val="24"/>
          <w:szCs w:val="24"/>
          <w:lang w:val="en-US" w:eastAsia="zh-CN"/>
        </w:rPr>
        <w:t>本次招标的</w:t>
      </w:r>
      <w:r>
        <w:rPr>
          <w:rFonts w:hint="eastAsia" w:ascii="宋体" w:hAnsi="宋体" w:eastAsia="宋体"/>
          <w:color w:val="auto"/>
          <w:sz w:val="24"/>
          <w:szCs w:val="24"/>
        </w:rPr>
        <w:t>系统</w:t>
      </w:r>
      <w:r>
        <w:rPr>
          <w:rFonts w:hint="eastAsia" w:ascii="宋体" w:hAnsi="宋体" w:eastAsia="宋体"/>
          <w:color w:val="auto"/>
          <w:sz w:val="24"/>
          <w:szCs w:val="24"/>
        </w:rPr>
        <w:t>可充分利用和保护现有网络资源，便于以后的扩建。不但要保证目前系统容量的要求，也要考虑今后系统的发展，便于向更新技术的升级与衔接。平台服务器具备扩展和兼容能力，便于不同级别的中心整合和扩建。考虑到今后业务的发展，</w:t>
      </w:r>
      <w:r>
        <w:rPr>
          <w:rFonts w:hint="eastAsia" w:ascii="宋体" w:hAnsi="宋体" w:eastAsia="宋体"/>
          <w:color w:val="auto"/>
          <w:sz w:val="24"/>
          <w:szCs w:val="24"/>
          <w:lang w:val="en-US" w:eastAsia="zh-CN"/>
        </w:rPr>
        <w:t>本次招标的</w:t>
      </w:r>
      <w:r>
        <w:rPr>
          <w:rFonts w:hint="eastAsia" w:ascii="宋体" w:hAnsi="宋体" w:eastAsia="宋体"/>
          <w:color w:val="auto"/>
          <w:sz w:val="24"/>
          <w:szCs w:val="24"/>
        </w:rPr>
        <w:t>系统</w:t>
      </w:r>
      <w:r>
        <w:rPr>
          <w:rFonts w:hint="eastAsia" w:ascii="宋体" w:hAnsi="宋体" w:eastAsia="宋体"/>
          <w:color w:val="auto"/>
          <w:sz w:val="24"/>
          <w:szCs w:val="24"/>
        </w:rPr>
        <w:t>必须具</w:t>
      </w:r>
      <w:r>
        <w:rPr>
          <w:rFonts w:hint="eastAsia" w:ascii="宋体" w:hAnsi="宋体" w:eastAsia="宋体"/>
          <w:color w:val="auto"/>
          <w:sz w:val="24"/>
          <w:szCs w:val="24"/>
          <w:lang w:val="en-US" w:eastAsia="zh-CN"/>
        </w:rPr>
        <w:t>留</w:t>
      </w:r>
      <w:r>
        <w:rPr>
          <w:rFonts w:hint="eastAsia" w:ascii="宋体" w:hAnsi="宋体" w:eastAsia="宋体"/>
          <w:color w:val="auto"/>
          <w:sz w:val="24"/>
          <w:szCs w:val="24"/>
          <w:lang w:val="en-US" w:eastAsia="zh-CN"/>
        </w:rPr>
        <w:t>有20%的</w:t>
      </w:r>
      <w:r>
        <w:rPr>
          <w:rFonts w:hint="eastAsia" w:ascii="宋体" w:hAnsi="宋体" w:eastAsia="宋体"/>
          <w:color w:val="auto"/>
          <w:sz w:val="24"/>
          <w:szCs w:val="24"/>
        </w:rPr>
        <w:t>监控点数和存储空间</w:t>
      </w:r>
      <w:r>
        <w:rPr>
          <w:rFonts w:hint="eastAsia" w:ascii="宋体" w:hAnsi="宋体" w:eastAsia="宋体"/>
          <w:color w:val="auto"/>
          <w:sz w:val="24"/>
          <w:szCs w:val="24"/>
          <w:lang w:val="en-US" w:eastAsia="zh-CN"/>
        </w:rPr>
        <w:t>的</w:t>
      </w:r>
      <w:r>
        <w:rPr>
          <w:rFonts w:hint="eastAsia" w:ascii="宋体" w:hAnsi="宋体" w:eastAsia="宋体"/>
          <w:color w:val="auto"/>
          <w:sz w:val="24"/>
          <w:szCs w:val="24"/>
        </w:rPr>
        <w:t>扩容能力。</w:t>
      </w:r>
    </w:p>
    <w:p w14:paraId="22E2F696">
      <w:pPr>
        <w:widowControl/>
        <w:numPr>
          <w:ilvl w:val="0"/>
          <w:numId w:val="4"/>
        </w:numPr>
        <w:adjustRightInd w:val="0"/>
        <w:snapToGrid w:val="0"/>
        <w:spacing w:line="360" w:lineRule="auto"/>
        <w:rPr>
          <w:rFonts w:hint="eastAsia" w:ascii="宋体" w:hAnsi="宋体" w:eastAsia="宋体"/>
          <w:b/>
          <w:bCs/>
          <w:color w:val="auto"/>
          <w:sz w:val="24"/>
          <w:szCs w:val="24"/>
        </w:rPr>
      </w:pPr>
      <w:bookmarkStart w:id="34" w:name="_Toc65741965"/>
      <w:bookmarkStart w:id="35" w:name="_Toc71452201"/>
      <w:bookmarkStart w:id="36" w:name="_Toc71625361"/>
      <w:bookmarkStart w:id="37" w:name="_Toc72313319"/>
      <w:r>
        <w:rPr>
          <w:rFonts w:hint="eastAsia" w:ascii="宋体" w:hAnsi="宋体" w:eastAsia="宋体"/>
          <w:b/>
          <w:bCs/>
          <w:color w:val="auto"/>
          <w:sz w:val="24"/>
          <w:szCs w:val="24"/>
        </w:rPr>
        <w:t>安全</w:t>
      </w:r>
      <w:bookmarkEnd w:id="34"/>
      <w:r>
        <w:rPr>
          <w:rFonts w:hint="eastAsia" w:ascii="宋体" w:hAnsi="宋体" w:eastAsia="宋体"/>
          <w:b/>
          <w:bCs/>
          <w:color w:val="auto"/>
          <w:sz w:val="24"/>
          <w:szCs w:val="24"/>
        </w:rPr>
        <w:t>性</w:t>
      </w:r>
      <w:bookmarkEnd w:id="35"/>
      <w:bookmarkEnd w:id="36"/>
      <w:bookmarkEnd w:id="37"/>
    </w:p>
    <w:p w14:paraId="781A927C">
      <w:pPr>
        <w:widowControl/>
        <w:adjustRightInd w:val="0"/>
        <w:snapToGrid w:val="0"/>
        <w:spacing w:line="360" w:lineRule="auto"/>
        <w:ind w:firstLine="480" w:firstLineChars="200"/>
        <w:rPr>
          <w:rFonts w:hint="eastAsia" w:ascii="宋体" w:hAnsi="宋体" w:eastAsia="宋体"/>
          <w:color w:val="auto"/>
          <w:sz w:val="24"/>
          <w:szCs w:val="24"/>
        </w:rPr>
      </w:pPr>
      <w:r>
        <w:rPr>
          <w:rFonts w:hint="eastAsia" w:ascii="宋体" w:hAnsi="宋体" w:eastAsia="宋体"/>
          <w:color w:val="auto"/>
          <w:sz w:val="24"/>
          <w:szCs w:val="24"/>
        </w:rPr>
        <w:t>为确保系统内信息内容的安全性、完整性和可用性，</w:t>
      </w:r>
      <w:r>
        <w:rPr>
          <w:rFonts w:hint="eastAsia" w:ascii="宋体" w:hAnsi="宋体" w:eastAsia="宋体"/>
          <w:color w:val="auto"/>
          <w:sz w:val="24"/>
          <w:szCs w:val="24"/>
          <w:lang w:val="en-US" w:eastAsia="zh-CN"/>
        </w:rPr>
        <w:t>本次招标的</w:t>
      </w:r>
      <w:r>
        <w:rPr>
          <w:rFonts w:hint="eastAsia" w:ascii="宋体" w:hAnsi="宋体" w:eastAsia="宋体"/>
          <w:color w:val="auto"/>
          <w:sz w:val="24"/>
          <w:szCs w:val="24"/>
        </w:rPr>
        <w:t>系统</w:t>
      </w:r>
      <w:r>
        <w:rPr>
          <w:rFonts w:hint="eastAsia" w:ascii="宋体" w:hAnsi="宋体" w:eastAsia="宋体"/>
          <w:color w:val="auto"/>
          <w:sz w:val="24"/>
          <w:szCs w:val="24"/>
        </w:rPr>
        <w:t>应具有高度的稳定性和保密性。</w:t>
      </w:r>
    </w:p>
    <w:p w14:paraId="2E728F84">
      <w:pPr>
        <w:widowControl/>
        <w:adjustRightInd w:val="0"/>
        <w:snapToGrid w:val="0"/>
        <w:spacing w:line="360" w:lineRule="auto"/>
        <w:ind w:firstLine="480" w:firstLineChars="200"/>
        <w:rPr>
          <w:rFonts w:hint="eastAsia" w:ascii="宋体" w:hAnsi="宋体" w:eastAsia="宋体"/>
          <w:color w:val="auto"/>
          <w:sz w:val="24"/>
          <w:szCs w:val="24"/>
        </w:rPr>
      </w:pPr>
      <w:r>
        <w:rPr>
          <w:rFonts w:hint="eastAsia" w:ascii="宋体" w:hAnsi="宋体" w:eastAsia="宋体"/>
          <w:color w:val="auto"/>
          <w:sz w:val="24"/>
          <w:szCs w:val="24"/>
        </w:rPr>
        <w:t>数据安全：对数据进行多级别、分布式、划区域的存储，保证数据不容易破坏。数据的AES加密机制，保证数据在网络传输过程中的安全，不会被截获、篡改和利用。</w:t>
      </w:r>
    </w:p>
    <w:p w14:paraId="7BF88727">
      <w:pPr>
        <w:widowControl/>
        <w:adjustRightInd w:val="0"/>
        <w:snapToGrid w:val="0"/>
        <w:spacing w:line="360" w:lineRule="auto"/>
        <w:ind w:firstLine="480" w:firstLineChars="200"/>
        <w:rPr>
          <w:rFonts w:hint="eastAsia" w:ascii="宋体" w:hAnsi="宋体" w:eastAsia="宋体"/>
          <w:color w:val="auto"/>
          <w:sz w:val="24"/>
          <w:szCs w:val="24"/>
        </w:rPr>
      </w:pPr>
      <w:r>
        <w:rPr>
          <w:rFonts w:hint="eastAsia" w:ascii="宋体" w:hAnsi="宋体" w:eastAsia="宋体"/>
          <w:color w:val="auto"/>
          <w:sz w:val="24"/>
          <w:szCs w:val="24"/>
        </w:rPr>
        <w:t>信息安全：承载网络具有一定的防止网络攻击和防御能力和防御措施。所有配置信息、管理信息、日志信息均存放在中心数据库，实行信息集中管理。</w:t>
      </w:r>
    </w:p>
    <w:p w14:paraId="0865D8F5">
      <w:pPr>
        <w:widowControl/>
        <w:numPr>
          <w:ilvl w:val="0"/>
          <w:numId w:val="4"/>
        </w:numPr>
        <w:adjustRightInd w:val="0"/>
        <w:snapToGrid w:val="0"/>
        <w:spacing w:line="360" w:lineRule="auto"/>
        <w:rPr>
          <w:rFonts w:hint="eastAsia" w:ascii="宋体" w:hAnsi="宋体" w:eastAsia="宋体"/>
          <w:b/>
          <w:bCs/>
          <w:color w:val="auto"/>
          <w:sz w:val="24"/>
          <w:szCs w:val="24"/>
        </w:rPr>
      </w:pPr>
      <w:r>
        <w:rPr>
          <w:rFonts w:hint="eastAsia" w:ascii="宋体" w:hAnsi="宋体" w:eastAsia="宋体" w:cs="楷体"/>
          <w:b/>
          <w:bCs/>
          <w:color w:val="auto"/>
          <w:sz w:val="24"/>
          <w:szCs w:val="24"/>
        </w:rPr>
        <w:t>易维护性</w:t>
      </w:r>
    </w:p>
    <w:p w14:paraId="048A5CD5">
      <w:pPr>
        <w:widowControl/>
        <w:adjustRightInd w:val="0"/>
        <w:snapToGrid w:val="0"/>
        <w:spacing w:line="360" w:lineRule="auto"/>
        <w:ind w:firstLine="480"/>
        <w:jc w:val="left"/>
        <w:rPr>
          <w:rFonts w:hint="eastAsia" w:ascii="宋体" w:hAnsi="宋体" w:eastAsia="宋体" w:cs="楷体"/>
          <w:color w:val="auto"/>
          <w:sz w:val="24"/>
          <w:szCs w:val="24"/>
        </w:rPr>
      </w:pPr>
      <w:r>
        <w:rPr>
          <w:rFonts w:hint="eastAsia" w:ascii="宋体" w:hAnsi="宋体" w:eastAsia="宋体" w:cs="楷体"/>
          <w:color w:val="auto"/>
          <w:sz w:val="24"/>
          <w:szCs w:val="24"/>
        </w:rPr>
        <w:t>平台具有操作界面友好、方便易掌握、日常维护简单、容易管理，以及支持用户二次开发等功能特点。平台</w:t>
      </w:r>
      <w:r>
        <w:rPr>
          <w:rFonts w:hint="eastAsia" w:ascii="宋体" w:hAnsi="宋体" w:eastAsia="宋体" w:cs="楷体"/>
          <w:color w:val="auto"/>
          <w:sz w:val="24"/>
          <w:szCs w:val="24"/>
          <w:lang w:val="en-US" w:eastAsia="zh-CN"/>
        </w:rPr>
        <w:t>需</w:t>
      </w:r>
      <w:r>
        <w:rPr>
          <w:rFonts w:hint="eastAsia" w:ascii="宋体" w:hAnsi="宋体" w:eastAsia="宋体" w:cs="楷体"/>
          <w:color w:val="auto"/>
          <w:sz w:val="24"/>
          <w:szCs w:val="24"/>
        </w:rPr>
        <w:t>集中部署</w:t>
      </w:r>
      <w:r>
        <w:rPr>
          <w:rFonts w:hint="eastAsia" w:ascii="宋体" w:hAnsi="宋体" w:eastAsia="宋体" w:cs="楷体"/>
          <w:color w:val="auto"/>
          <w:sz w:val="24"/>
          <w:szCs w:val="24"/>
          <w:lang w:eastAsia="zh-CN"/>
        </w:rPr>
        <w:t>，</w:t>
      </w:r>
      <w:r>
        <w:rPr>
          <w:rFonts w:hint="eastAsia" w:ascii="宋体" w:hAnsi="宋体" w:eastAsia="宋体" w:cs="楷体"/>
          <w:color w:val="auto"/>
          <w:sz w:val="24"/>
          <w:szCs w:val="24"/>
        </w:rPr>
        <w:t>以使于集中维护，系统自身应提供分权分级的权限管理机制，不同的系统模块可以设置不同级别的数据操作、统计和监控分析权限。</w:t>
      </w:r>
    </w:p>
    <w:p w14:paraId="07C2D107">
      <w:pPr>
        <w:spacing w:before="120" w:after="120" w:line="360" w:lineRule="auto"/>
        <w:jc w:val="left"/>
        <w:outlineLvl w:val="1"/>
        <w:rPr>
          <w:rFonts w:ascii="宋体" w:hAnsi="宋体" w:eastAsia="宋体"/>
          <w:b/>
          <w:bCs/>
          <w:color w:val="auto"/>
          <w:sz w:val="28"/>
          <w:szCs w:val="28"/>
        </w:rPr>
      </w:pPr>
      <w:bookmarkStart w:id="38" w:name="_Toc244176117"/>
      <w:bookmarkStart w:id="39" w:name="_Toc244176386"/>
      <w:r>
        <w:rPr>
          <w:rFonts w:hint="eastAsia" w:ascii="宋体" w:hAnsi="宋体" w:eastAsia="宋体"/>
          <w:b/>
          <w:bCs/>
          <w:color w:val="auto"/>
          <w:sz w:val="28"/>
          <w:szCs w:val="28"/>
        </w:rPr>
        <w:t>3.2 设计标准及规范</w:t>
      </w:r>
      <w:bookmarkEnd w:id="38"/>
      <w:bookmarkEnd w:id="39"/>
    </w:p>
    <w:p w14:paraId="57D9A8D2">
      <w:pPr>
        <w:spacing w:before="120" w:after="120" w:line="360" w:lineRule="auto"/>
        <w:ind w:firstLine="360" w:firstLineChars="150"/>
        <w:jc w:val="left"/>
        <w:rPr>
          <w:rFonts w:hint="eastAsia" w:ascii="宋体" w:hAnsi="宋体" w:eastAsia="宋体" w:cs="Times New Roman"/>
          <w:color w:val="auto"/>
          <w:sz w:val="24"/>
          <w:szCs w:val="24"/>
        </w:rPr>
      </w:pPr>
      <w:r>
        <w:rPr>
          <w:rFonts w:hint="eastAsia" w:ascii="宋体" w:hAnsi="宋体" w:eastAsia="宋体"/>
          <w:color w:val="auto"/>
          <w:sz w:val="24"/>
          <w:szCs w:val="24"/>
          <w:lang w:val="en-US" w:eastAsia="zh-CN"/>
        </w:rPr>
        <w:t>本次招标的</w:t>
      </w:r>
      <w:r>
        <w:rPr>
          <w:rFonts w:hint="eastAsia" w:ascii="宋体" w:hAnsi="宋体" w:eastAsia="宋体"/>
          <w:color w:val="auto"/>
          <w:sz w:val="24"/>
          <w:szCs w:val="24"/>
        </w:rPr>
        <w:t>系统</w:t>
      </w:r>
      <w:r>
        <w:rPr>
          <w:rFonts w:hint="eastAsia" w:ascii="宋体" w:hAnsi="宋体" w:eastAsia="宋体" w:cs="Times New Roman"/>
          <w:color w:val="auto"/>
          <w:sz w:val="24"/>
          <w:szCs w:val="24"/>
        </w:rPr>
        <w:t>的设计、工程施工及验收标准和规范等必须符合以下有关标准。未列出之标准应按中华人民共和国国家标准（</w:t>
      </w:r>
      <w:r>
        <w:rPr>
          <w:rFonts w:ascii="宋体" w:hAnsi="宋体" w:eastAsia="宋体" w:cs="Times New Roman"/>
          <w:color w:val="auto"/>
          <w:sz w:val="24"/>
          <w:szCs w:val="24"/>
        </w:rPr>
        <w:t>GB）或国际电工标准（IEC）及行业标准规范执行。</w:t>
      </w:r>
    </w:p>
    <w:p w14:paraId="542E71BB">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Q/GDW383—2009   智能变电站技术导则</w:t>
      </w:r>
    </w:p>
    <w:p w14:paraId="14CDECED">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 xml:space="preserve">GB/T 37546-2019  无人值守变电站监控系统技术规范  </w:t>
      </w:r>
    </w:p>
    <w:p w14:paraId="3B06F958">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GB 50059</w:t>
      </w:r>
      <w:r>
        <w:rPr>
          <w:rFonts w:hint="eastAsia" w:ascii="MS Mincho" w:hAnsi="MS Mincho" w:eastAsia="MS Mincho" w:cs="MS Mincho"/>
          <w:color w:val="auto"/>
          <w:sz w:val="24"/>
          <w:szCs w:val="24"/>
        </w:rPr>
        <w:t>‑</w:t>
      </w:r>
      <w:r>
        <w:rPr>
          <w:rFonts w:ascii="宋体" w:hAnsi="宋体" w:eastAsia="宋体" w:cs="Times New Roman"/>
          <w:color w:val="auto"/>
          <w:sz w:val="24"/>
          <w:szCs w:val="24"/>
        </w:rPr>
        <w:t>2011    35kV～110kV变电站设计规范</w:t>
      </w:r>
    </w:p>
    <w:p w14:paraId="1598761E">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GB/T 51072</w:t>
      </w:r>
      <w:r>
        <w:rPr>
          <w:rFonts w:hint="eastAsia" w:ascii="MS Mincho" w:hAnsi="MS Mincho" w:eastAsia="MS Mincho" w:cs="MS Mincho"/>
          <w:color w:val="auto"/>
          <w:sz w:val="24"/>
          <w:szCs w:val="24"/>
        </w:rPr>
        <w:t>‑</w:t>
      </w:r>
      <w:r>
        <w:rPr>
          <w:rFonts w:ascii="宋体" w:hAnsi="宋体" w:eastAsia="宋体" w:cs="Times New Roman"/>
          <w:color w:val="auto"/>
          <w:sz w:val="24"/>
          <w:szCs w:val="24"/>
        </w:rPr>
        <w:t>2014  110(66)kV～220kV智能变电站设计规范</w:t>
      </w:r>
    </w:p>
    <w:p w14:paraId="14F82BE0">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GB/T 32893-2016  10kV及以上电力用户变电站运行管理规范</w:t>
      </w:r>
    </w:p>
    <w:p w14:paraId="0FB7F516">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GB 50052</w:t>
      </w:r>
      <w:r>
        <w:rPr>
          <w:rFonts w:hint="eastAsia" w:ascii="MS Mincho" w:hAnsi="MS Mincho" w:eastAsia="MS Mincho" w:cs="MS Mincho"/>
          <w:color w:val="auto"/>
          <w:sz w:val="24"/>
          <w:szCs w:val="24"/>
        </w:rPr>
        <w:t>‑</w:t>
      </w:r>
      <w:r>
        <w:rPr>
          <w:rFonts w:ascii="宋体" w:hAnsi="宋体" w:eastAsia="宋体" w:cs="Times New Roman"/>
          <w:color w:val="auto"/>
          <w:sz w:val="24"/>
          <w:szCs w:val="24"/>
        </w:rPr>
        <w:t>2009    供配电系统设计规范</w:t>
      </w:r>
    </w:p>
    <w:p w14:paraId="1F421620">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GB 50060</w:t>
      </w:r>
      <w:r>
        <w:rPr>
          <w:rFonts w:hint="eastAsia" w:ascii="MS Mincho" w:hAnsi="MS Mincho" w:eastAsia="MS Mincho" w:cs="MS Mincho"/>
          <w:color w:val="auto"/>
          <w:sz w:val="24"/>
          <w:szCs w:val="24"/>
        </w:rPr>
        <w:t>‑</w:t>
      </w:r>
      <w:r>
        <w:rPr>
          <w:rFonts w:ascii="宋体" w:hAnsi="宋体" w:eastAsia="宋体" w:cs="Times New Roman"/>
          <w:color w:val="auto"/>
          <w:sz w:val="24"/>
          <w:szCs w:val="24"/>
        </w:rPr>
        <w:t>2008    3</w:t>
      </w:r>
      <w:r>
        <w:rPr>
          <w:rFonts w:hint="eastAsia" w:ascii="MS Mincho" w:hAnsi="MS Mincho" w:eastAsia="MS Mincho" w:cs="MS Mincho"/>
          <w:color w:val="auto"/>
          <w:sz w:val="24"/>
          <w:szCs w:val="24"/>
        </w:rPr>
        <w:t>‑</w:t>
      </w:r>
      <w:r>
        <w:rPr>
          <w:rFonts w:ascii="宋体" w:hAnsi="宋体" w:eastAsia="宋体" w:cs="Times New Roman"/>
          <w:color w:val="auto"/>
          <w:sz w:val="24"/>
          <w:szCs w:val="24"/>
        </w:rPr>
        <w:t>110kV高压配电装置设计规范</w:t>
      </w:r>
    </w:p>
    <w:p w14:paraId="455787E4">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GB/T 50062</w:t>
      </w:r>
      <w:r>
        <w:rPr>
          <w:rFonts w:hint="eastAsia" w:ascii="MS Mincho" w:hAnsi="MS Mincho" w:eastAsia="MS Mincho" w:cs="MS Mincho"/>
          <w:color w:val="auto"/>
          <w:sz w:val="24"/>
          <w:szCs w:val="24"/>
        </w:rPr>
        <w:t>‑</w:t>
      </w:r>
      <w:r>
        <w:rPr>
          <w:rFonts w:ascii="宋体" w:hAnsi="宋体" w:eastAsia="宋体" w:cs="Times New Roman"/>
          <w:color w:val="auto"/>
          <w:sz w:val="24"/>
          <w:szCs w:val="24"/>
        </w:rPr>
        <w:t>2008  电力装置的继电保护和自动装置设计规范</w:t>
      </w:r>
    </w:p>
    <w:p w14:paraId="3EE3888B">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GB 50150</w:t>
      </w:r>
      <w:r>
        <w:rPr>
          <w:rFonts w:hint="eastAsia" w:ascii="MS Mincho" w:hAnsi="MS Mincho" w:eastAsia="MS Mincho" w:cs="MS Mincho"/>
          <w:color w:val="auto"/>
          <w:sz w:val="24"/>
          <w:szCs w:val="24"/>
        </w:rPr>
        <w:t>‑</w:t>
      </w:r>
      <w:r>
        <w:rPr>
          <w:rFonts w:ascii="宋体" w:hAnsi="宋体" w:eastAsia="宋体" w:cs="Times New Roman"/>
          <w:color w:val="auto"/>
          <w:sz w:val="24"/>
          <w:szCs w:val="24"/>
        </w:rPr>
        <w:t>2016    电气装置安装工程 电气设备交接试验标准</w:t>
      </w:r>
    </w:p>
    <w:p w14:paraId="39FA1A4F">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GB/T 26860</w:t>
      </w:r>
      <w:r>
        <w:rPr>
          <w:rFonts w:hint="eastAsia" w:ascii="MS Mincho" w:hAnsi="MS Mincho" w:eastAsia="MS Mincho" w:cs="MS Mincho"/>
          <w:color w:val="auto"/>
          <w:sz w:val="24"/>
          <w:szCs w:val="24"/>
        </w:rPr>
        <w:t>‑</w:t>
      </w:r>
      <w:r>
        <w:rPr>
          <w:rFonts w:ascii="宋体" w:hAnsi="宋体" w:eastAsia="宋体" w:cs="Times New Roman"/>
          <w:color w:val="auto"/>
          <w:sz w:val="24"/>
          <w:szCs w:val="24"/>
        </w:rPr>
        <w:t>2011  电力安全工作规程 变电部分</w:t>
      </w:r>
    </w:p>
    <w:p w14:paraId="4AD00C0F">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GB 50065</w:t>
      </w:r>
      <w:r>
        <w:rPr>
          <w:rFonts w:hint="eastAsia" w:ascii="MS Mincho" w:hAnsi="MS Mincho" w:eastAsia="MS Mincho" w:cs="MS Mincho"/>
          <w:color w:val="auto"/>
          <w:sz w:val="24"/>
          <w:szCs w:val="24"/>
        </w:rPr>
        <w:t>‑</w:t>
      </w:r>
      <w:r>
        <w:rPr>
          <w:rFonts w:ascii="宋体" w:hAnsi="宋体" w:eastAsia="宋体" w:cs="Times New Roman"/>
          <w:color w:val="auto"/>
          <w:sz w:val="24"/>
          <w:szCs w:val="24"/>
        </w:rPr>
        <w:t>2011    交流电气装置的接地设计规范</w:t>
      </w:r>
    </w:p>
    <w:p w14:paraId="2A6B809B">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GB/T 13730       地区电网调度自动化系统</w:t>
      </w:r>
    </w:p>
    <w:p w14:paraId="79317606">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GB 14285         继电保护和安全自动装置技术规范</w:t>
      </w:r>
    </w:p>
    <w:p w14:paraId="7989BB76">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GB/T 13729       远动终端设备</w:t>
      </w:r>
    </w:p>
    <w:p w14:paraId="33E9A4AA">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GB/T 25070-2019  信息安全技术网络安全等级保护安全设计技术要求</w:t>
      </w:r>
    </w:p>
    <w:p w14:paraId="255EDEE8">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GBJ115-87        工业电视系统工程设计规范</w:t>
      </w:r>
    </w:p>
    <w:p w14:paraId="439A3941">
      <w:pPr>
        <w:spacing w:before="120" w:after="120" w:line="360" w:lineRule="auto"/>
        <w:jc w:val="left"/>
        <w:rPr>
          <w:rFonts w:hint="eastAsia" w:ascii="宋体" w:hAnsi="宋体" w:eastAsia="宋体" w:cs="Times New Roman"/>
          <w:color w:val="auto"/>
          <w:sz w:val="24"/>
          <w:szCs w:val="24"/>
        </w:rPr>
      </w:pPr>
      <w:r>
        <w:rPr>
          <w:rFonts w:ascii="宋体" w:hAnsi="宋体" w:eastAsia="宋体" w:cs="Times New Roman"/>
          <w:color w:val="auto"/>
          <w:sz w:val="24"/>
          <w:szCs w:val="24"/>
        </w:rPr>
        <w:t xml:space="preserve">   GBJ 52-83        工业与民用供电系统设计规范</w:t>
      </w:r>
    </w:p>
    <w:p w14:paraId="0E935DB0">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GA/T75-94        安全防范工程程序与要求</w:t>
      </w:r>
    </w:p>
    <w:p w14:paraId="467DF211">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GBJ42-81         工业企业通信设计规范</w:t>
      </w:r>
    </w:p>
    <w:p w14:paraId="68BC5ACD">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GB8566-88        计算机软件开发规范</w:t>
      </w:r>
    </w:p>
    <w:p w14:paraId="1CF46881">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GB50174-93       电子计算机机房设计规范</w:t>
      </w:r>
    </w:p>
    <w:p w14:paraId="6759E445">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GB/T 2887-2011   计算机场地通用规范</w:t>
      </w:r>
    </w:p>
    <w:p w14:paraId="7E9708E0">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GB 50348-2004    安全防范工程技术规范</w:t>
      </w:r>
    </w:p>
    <w:p w14:paraId="033C631A">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GA/T 367-2001    视频安防监控系统技术要求</w:t>
      </w:r>
    </w:p>
    <w:p w14:paraId="3EB29B50">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GBJ116-88        火灾自动报警系统设计规范</w:t>
      </w:r>
    </w:p>
    <w:p w14:paraId="64FD0EC0">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GB/T50311-2000   建筑与建筑群综合布线系统工程设计规范</w:t>
      </w:r>
    </w:p>
    <w:p w14:paraId="5B2BBF8E">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GB 50303-2015    建筑电气工程施工质量验收规范</w:t>
      </w:r>
    </w:p>
    <w:p w14:paraId="38608254">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GB50254          电气装置安装工程-低压电器施工及验收规范</w:t>
      </w:r>
    </w:p>
    <w:p w14:paraId="69749EE3">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GB 50171-2012    电气装置安装工程 盘、柜及二次回路接线现场施工</w:t>
      </w:r>
    </w:p>
    <w:p w14:paraId="3A006A85">
      <w:pPr>
        <w:spacing w:before="120" w:after="120" w:line="360" w:lineRule="auto"/>
        <w:ind w:firstLine="2400" w:firstLineChars="1000"/>
        <w:jc w:val="left"/>
        <w:rPr>
          <w:rFonts w:hint="eastAsia" w:ascii="宋体" w:hAnsi="宋体" w:eastAsia="宋体" w:cs="Times New Roman"/>
          <w:color w:val="auto"/>
          <w:sz w:val="24"/>
          <w:szCs w:val="24"/>
        </w:rPr>
      </w:pPr>
      <w:r>
        <w:rPr>
          <w:rFonts w:hint="eastAsia" w:ascii="宋体" w:hAnsi="宋体" w:eastAsia="宋体" w:cs="Times New Roman"/>
          <w:color w:val="auto"/>
          <w:sz w:val="24"/>
          <w:szCs w:val="24"/>
        </w:rPr>
        <w:t>及验收规范</w:t>
      </w:r>
    </w:p>
    <w:p w14:paraId="3D03340D">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DL/T 5103</w:t>
      </w:r>
      <w:r>
        <w:rPr>
          <w:rFonts w:hint="eastAsia" w:ascii="MS Mincho" w:hAnsi="MS Mincho" w:eastAsia="MS Mincho" w:cs="MS Mincho"/>
          <w:color w:val="auto"/>
          <w:sz w:val="24"/>
          <w:szCs w:val="24"/>
        </w:rPr>
        <w:t>‑</w:t>
      </w:r>
      <w:r>
        <w:rPr>
          <w:rFonts w:ascii="宋体" w:hAnsi="宋体" w:eastAsia="宋体" w:cs="Times New Roman"/>
          <w:color w:val="auto"/>
          <w:sz w:val="24"/>
          <w:szCs w:val="24"/>
        </w:rPr>
        <w:t>2012   35kV～220kV无人值班变电站设计技术规程</w:t>
      </w:r>
    </w:p>
    <w:p w14:paraId="3EF0B85B">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DL/T 5430</w:t>
      </w:r>
      <w:r>
        <w:rPr>
          <w:rFonts w:hint="eastAsia" w:ascii="MS Mincho" w:hAnsi="MS Mincho" w:eastAsia="MS Mincho" w:cs="MS Mincho"/>
          <w:color w:val="auto"/>
          <w:sz w:val="24"/>
          <w:szCs w:val="24"/>
        </w:rPr>
        <w:t>‑</w:t>
      </w:r>
      <w:r>
        <w:rPr>
          <w:rFonts w:ascii="宋体" w:hAnsi="宋体" w:eastAsia="宋体" w:cs="Times New Roman"/>
          <w:color w:val="auto"/>
          <w:sz w:val="24"/>
          <w:szCs w:val="24"/>
        </w:rPr>
        <w:t>2023   无人值班变电站远方监控中心设计规程</w:t>
      </w:r>
    </w:p>
    <w:p w14:paraId="33DD4889">
      <w:pPr>
        <w:spacing w:before="120" w:after="120" w:line="360" w:lineRule="auto"/>
        <w:jc w:val="left"/>
        <w:rPr>
          <w:rFonts w:hint="eastAsia" w:ascii="宋体" w:hAnsi="宋体" w:eastAsia="宋体" w:cs="Times New Roman"/>
          <w:color w:val="auto"/>
          <w:sz w:val="24"/>
          <w:szCs w:val="24"/>
        </w:rPr>
      </w:pPr>
      <w:r>
        <w:rPr>
          <w:rFonts w:ascii="宋体" w:hAnsi="宋体" w:eastAsia="宋体" w:cs="Times New Roman"/>
          <w:color w:val="auto"/>
          <w:sz w:val="24"/>
          <w:szCs w:val="24"/>
        </w:rPr>
        <w:t xml:space="preserve">   DL/T 2140</w:t>
      </w:r>
      <w:r>
        <w:rPr>
          <w:rFonts w:hint="eastAsia" w:ascii="MS Mincho" w:hAnsi="MS Mincho" w:eastAsia="MS Mincho" w:cs="MS Mincho"/>
          <w:color w:val="auto"/>
          <w:sz w:val="24"/>
          <w:szCs w:val="24"/>
        </w:rPr>
        <w:t>‑</w:t>
      </w:r>
      <w:r>
        <w:rPr>
          <w:rFonts w:ascii="宋体" w:hAnsi="宋体" w:eastAsia="宋体" w:cs="Times New Roman"/>
          <w:color w:val="auto"/>
          <w:sz w:val="24"/>
          <w:szCs w:val="24"/>
        </w:rPr>
        <w:t>2020   无人值班变电站消防远程集中监控系统技术规范</w:t>
      </w:r>
    </w:p>
    <w:p w14:paraId="4B348291">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DL/T 5222</w:t>
      </w:r>
      <w:r>
        <w:rPr>
          <w:rFonts w:hint="eastAsia" w:ascii="MS Mincho" w:hAnsi="MS Mincho" w:eastAsia="MS Mincho" w:cs="MS Mincho"/>
          <w:color w:val="auto"/>
          <w:sz w:val="24"/>
          <w:szCs w:val="24"/>
        </w:rPr>
        <w:t>‑</w:t>
      </w:r>
      <w:r>
        <w:rPr>
          <w:rFonts w:ascii="宋体" w:hAnsi="宋体" w:eastAsia="宋体" w:cs="Times New Roman"/>
          <w:color w:val="auto"/>
          <w:sz w:val="24"/>
          <w:szCs w:val="24"/>
        </w:rPr>
        <w:t>2005   导体和电器选择设计技术规定</w:t>
      </w:r>
    </w:p>
    <w:p w14:paraId="3881C380">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DL/T 1430</w:t>
      </w:r>
      <w:r>
        <w:rPr>
          <w:rFonts w:hint="eastAsia" w:ascii="MS Mincho" w:hAnsi="MS Mincho" w:eastAsia="MS Mincho" w:cs="MS Mincho"/>
          <w:color w:val="auto"/>
          <w:sz w:val="24"/>
          <w:szCs w:val="24"/>
        </w:rPr>
        <w:t>‑</w:t>
      </w:r>
      <w:r>
        <w:rPr>
          <w:rFonts w:ascii="宋体" w:hAnsi="宋体" w:eastAsia="宋体" w:cs="Times New Roman"/>
          <w:color w:val="auto"/>
          <w:sz w:val="24"/>
          <w:szCs w:val="24"/>
        </w:rPr>
        <w:t xml:space="preserve">2015   变电设备在线监测系统技术导则 </w:t>
      </w:r>
    </w:p>
    <w:p w14:paraId="6535E2A2">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DL/T 1709</w:t>
      </w:r>
      <w:r>
        <w:rPr>
          <w:rFonts w:hint="eastAsia" w:ascii="MS Mincho" w:hAnsi="MS Mincho" w:eastAsia="MS Mincho" w:cs="MS Mincho"/>
          <w:color w:val="auto"/>
          <w:sz w:val="24"/>
          <w:szCs w:val="24"/>
        </w:rPr>
        <w:t>‑</w:t>
      </w:r>
      <w:r>
        <w:rPr>
          <w:rFonts w:ascii="宋体" w:hAnsi="宋体" w:eastAsia="宋体" w:cs="Times New Roman"/>
          <w:color w:val="auto"/>
          <w:sz w:val="24"/>
          <w:szCs w:val="24"/>
        </w:rPr>
        <w:t>2017   变电站机器人巡检系统技术规范</w:t>
      </w:r>
    </w:p>
    <w:p w14:paraId="5F445896">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DL/T 1397        电力设备在线监测装置通用技术条件</w:t>
      </w:r>
    </w:p>
    <w:p w14:paraId="5C07565F">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 xml:space="preserve">DL/T 860         变电站通信网络和系统（IEC61850） </w:t>
      </w:r>
    </w:p>
    <w:p w14:paraId="20895939">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DLT1708-2017     电力系统顺序控制技术规范</w:t>
      </w:r>
    </w:p>
    <w:p w14:paraId="5030A9F6">
      <w:pPr>
        <w:spacing w:before="120" w:after="120" w:line="360" w:lineRule="auto"/>
        <w:jc w:val="left"/>
        <w:rPr>
          <w:rFonts w:hint="eastAsia" w:ascii="宋体" w:hAnsi="宋体" w:eastAsia="宋体" w:cs="Times New Roman"/>
          <w:color w:val="auto"/>
          <w:sz w:val="24"/>
          <w:szCs w:val="24"/>
        </w:rPr>
      </w:pPr>
      <w:r>
        <w:rPr>
          <w:rFonts w:ascii="宋体" w:hAnsi="宋体" w:eastAsia="宋体" w:cs="Times New Roman"/>
          <w:color w:val="auto"/>
          <w:sz w:val="24"/>
          <w:szCs w:val="24"/>
        </w:rPr>
        <w:t xml:space="preserve">   DL476-92         电力系统实时数据通信应用层协议</w:t>
      </w:r>
    </w:p>
    <w:p w14:paraId="75F51C6E">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IEC870-1         远动设备及系统总则一般原理和指导性规范</w:t>
      </w:r>
    </w:p>
    <w:p w14:paraId="57508E89">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IEC870-2         远动设备及系统工作条件环境条件和电源</w:t>
      </w:r>
    </w:p>
    <w:p w14:paraId="4879113C">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IEC870-3         远动设备及系统接口（电气特性）</w:t>
      </w:r>
    </w:p>
    <w:p w14:paraId="6797011D">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IEC870-4         远动设备及系统性能要求</w:t>
      </w:r>
    </w:p>
    <w:p w14:paraId="271298F8">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IEC870-5         远动设备及系统传输规约</w:t>
      </w:r>
    </w:p>
    <w:p w14:paraId="0F8316FF">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IEC870-5-101     远动设备及系统传输规约基本远动配备标准</w:t>
      </w:r>
    </w:p>
    <w:p w14:paraId="3315F141">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IEC870-5-103     远动设备及系统传输规约保护通信配套标准</w:t>
      </w:r>
    </w:p>
    <w:p w14:paraId="23BFF2A1">
      <w:pPr>
        <w:spacing w:before="120" w:after="120" w:line="360" w:lineRule="auto"/>
        <w:ind w:firstLine="360" w:firstLineChars="150"/>
        <w:jc w:val="left"/>
        <w:rPr>
          <w:rFonts w:hint="eastAsia" w:ascii="宋体" w:hAnsi="宋体" w:eastAsia="宋体" w:cs="Times New Roman"/>
          <w:color w:val="auto"/>
          <w:sz w:val="24"/>
          <w:szCs w:val="24"/>
        </w:rPr>
      </w:pPr>
      <w:r>
        <w:rPr>
          <w:rFonts w:ascii="宋体" w:hAnsi="宋体" w:eastAsia="宋体" w:cs="Times New Roman"/>
          <w:color w:val="auto"/>
          <w:sz w:val="24"/>
          <w:szCs w:val="24"/>
        </w:rPr>
        <w:t>IEC 60870-5-101 RTU  通信规约</w:t>
      </w:r>
    </w:p>
    <w:p w14:paraId="27952D95">
      <w:pPr>
        <w:spacing w:before="120" w:after="120" w:line="360" w:lineRule="auto"/>
        <w:jc w:val="left"/>
        <w:outlineLvl w:val="1"/>
        <w:rPr>
          <w:rFonts w:ascii="宋体" w:hAnsi="宋体" w:eastAsia="宋体"/>
          <w:b/>
          <w:bCs/>
          <w:color w:val="auto"/>
          <w:sz w:val="28"/>
          <w:szCs w:val="28"/>
        </w:rPr>
      </w:pPr>
      <w:bookmarkStart w:id="40" w:name="_Toc244176387"/>
      <w:bookmarkStart w:id="41" w:name="_Toc244176118"/>
      <w:r>
        <w:rPr>
          <w:rFonts w:hint="eastAsia" w:ascii="宋体" w:hAnsi="宋体" w:eastAsia="宋体"/>
          <w:b/>
          <w:bCs/>
          <w:color w:val="auto"/>
          <w:sz w:val="28"/>
          <w:szCs w:val="28"/>
        </w:rPr>
        <w:t>3.</w:t>
      </w:r>
      <w:r>
        <w:rPr>
          <w:rFonts w:ascii="宋体" w:hAnsi="宋体" w:eastAsia="宋体"/>
          <w:b/>
          <w:bCs/>
          <w:color w:val="auto"/>
          <w:sz w:val="28"/>
          <w:szCs w:val="28"/>
        </w:rPr>
        <w:t>3</w:t>
      </w:r>
      <w:r>
        <w:rPr>
          <w:rFonts w:hint="eastAsia" w:ascii="宋体" w:hAnsi="宋体" w:eastAsia="宋体"/>
          <w:b/>
          <w:bCs/>
          <w:color w:val="auto"/>
          <w:sz w:val="28"/>
          <w:szCs w:val="28"/>
        </w:rPr>
        <w:t xml:space="preserve"> 总体思路</w:t>
      </w:r>
      <w:bookmarkEnd w:id="40"/>
      <w:bookmarkEnd w:id="41"/>
    </w:p>
    <w:p w14:paraId="271BC763">
      <w:pPr>
        <w:spacing w:line="360" w:lineRule="auto"/>
        <w:rPr>
          <w:rFonts w:hint="eastAsia" w:ascii="宋体" w:hAnsi="宋体" w:eastAsia="宋体"/>
          <w:color w:val="auto"/>
          <w:sz w:val="24"/>
          <w:szCs w:val="24"/>
        </w:rPr>
      </w:pPr>
      <w:r>
        <w:rPr>
          <w:rFonts w:hint="eastAsia" w:ascii="宋体" w:hAnsi="宋体" w:eastAsia="宋体" w:cs="Times New Roman"/>
          <w:color w:val="auto"/>
          <w:sz w:val="24"/>
          <w:szCs w:val="24"/>
        </w:rPr>
        <w:t xml:space="preserve">   </w:t>
      </w:r>
      <w:r>
        <w:rPr>
          <w:rFonts w:ascii="宋体" w:hAnsi="宋体" w:eastAsia="宋体" w:cs="Times New Roman"/>
          <w:color w:val="auto"/>
          <w:sz w:val="24"/>
          <w:szCs w:val="24"/>
        </w:rPr>
        <w:t xml:space="preserve"> </w:t>
      </w:r>
      <w:r>
        <w:rPr>
          <w:rFonts w:hint="eastAsia" w:ascii="宋体" w:hAnsi="宋体" w:eastAsia="宋体"/>
          <w:color w:val="auto"/>
          <w:sz w:val="24"/>
          <w:szCs w:val="24"/>
        </w:rPr>
        <w:t>由于</w:t>
      </w:r>
      <w:r>
        <w:rPr>
          <w:rFonts w:hint="eastAsia" w:ascii="宋体" w:hAnsi="宋体" w:eastAsia="宋体"/>
          <w:color w:val="auto"/>
          <w:sz w:val="24"/>
          <w:szCs w:val="24"/>
          <w:lang w:val="en-US" w:eastAsia="zh-CN"/>
        </w:rPr>
        <w:t>本次招标的</w:t>
      </w:r>
      <w:r>
        <w:rPr>
          <w:rFonts w:hint="eastAsia" w:ascii="宋体" w:hAnsi="宋体" w:eastAsia="宋体"/>
          <w:color w:val="auto"/>
          <w:sz w:val="24"/>
          <w:szCs w:val="24"/>
        </w:rPr>
        <w:t>成都</w:t>
      </w:r>
      <w:r>
        <w:rPr>
          <w:rFonts w:ascii="宋体" w:hAnsi="宋体" w:eastAsia="宋体"/>
          <w:color w:val="auto"/>
          <w:sz w:val="24"/>
          <w:szCs w:val="24"/>
        </w:rPr>
        <w:t>八一骨科</w:t>
      </w:r>
      <w:r>
        <w:rPr>
          <w:rFonts w:hint="eastAsia" w:ascii="宋体" w:hAnsi="宋体" w:eastAsia="宋体"/>
          <w:color w:val="auto"/>
          <w:sz w:val="24"/>
          <w:szCs w:val="24"/>
        </w:rPr>
        <w:t>医院</w:t>
      </w:r>
      <w:r>
        <w:rPr>
          <w:rFonts w:ascii="宋体" w:hAnsi="宋体" w:eastAsia="宋体"/>
          <w:color w:val="auto"/>
          <w:sz w:val="24"/>
          <w:szCs w:val="24"/>
        </w:rPr>
        <w:t>（</w:t>
      </w:r>
      <w:r>
        <w:rPr>
          <w:rFonts w:hint="eastAsia" w:ascii="宋体" w:hAnsi="宋体" w:eastAsia="宋体"/>
          <w:color w:val="auto"/>
          <w:sz w:val="24"/>
          <w:szCs w:val="24"/>
        </w:rPr>
        <w:t>青羊区</w:t>
      </w:r>
      <w:r>
        <w:rPr>
          <w:rFonts w:ascii="宋体" w:hAnsi="宋体" w:eastAsia="宋体"/>
          <w:color w:val="auto"/>
          <w:sz w:val="24"/>
          <w:szCs w:val="24"/>
        </w:rPr>
        <w:t>院区）</w:t>
      </w:r>
      <w:r>
        <w:rPr>
          <w:rFonts w:hint="eastAsia" w:ascii="宋体" w:hAnsi="宋体" w:eastAsia="宋体"/>
          <w:color w:val="auto"/>
          <w:sz w:val="24"/>
          <w:szCs w:val="24"/>
        </w:rPr>
        <w:t>变电站建站时间较长，站所内使用的微机保护装置、电力仪表、交换机等设备经过多年的运行均已经接近使用寿命。保护装置在接近使用寿命后，老化的过程中会引起的误动及拒动，存在重大的安全隐患。所以需要更换站内微机保护装置、仪表及交换机等设备。</w:t>
      </w:r>
    </w:p>
    <w:p w14:paraId="3DD21AD2">
      <w:pPr>
        <w:spacing w:line="360" w:lineRule="auto"/>
        <w:ind w:firstLine="480" w:firstLineChars="200"/>
        <w:rPr>
          <w:rFonts w:hint="eastAsia" w:ascii="宋体" w:hAnsi="宋体" w:eastAsia="宋体"/>
          <w:color w:val="auto"/>
          <w:sz w:val="24"/>
          <w:szCs w:val="24"/>
        </w:rPr>
      </w:pPr>
      <w:r>
        <w:rPr>
          <w:rFonts w:hint="eastAsia" w:ascii="宋体" w:hAnsi="宋体" w:eastAsia="宋体"/>
          <w:color w:val="auto"/>
          <w:sz w:val="24"/>
          <w:szCs w:val="24"/>
        </w:rPr>
        <w:t>前端接入微机</w:t>
      </w:r>
      <w:r>
        <w:rPr>
          <w:rFonts w:ascii="宋体" w:hAnsi="宋体" w:eastAsia="宋体"/>
          <w:color w:val="auto"/>
          <w:sz w:val="24"/>
          <w:szCs w:val="24"/>
        </w:rPr>
        <w:t>保护、</w:t>
      </w:r>
      <w:r>
        <w:rPr>
          <w:rFonts w:hint="eastAsia" w:ascii="宋体" w:hAnsi="宋体" w:eastAsia="宋体"/>
          <w:color w:val="auto"/>
          <w:sz w:val="24"/>
          <w:szCs w:val="24"/>
        </w:rPr>
        <w:t>智能</w:t>
      </w:r>
      <w:r>
        <w:rPr>
          <w:rFonts w:ascii="宋体" w:hAnsi="宋体" w:eastAsia="宋体"/>
          <w:color w:val="auto"/>
          <w:sz w:val="24"/>
          <w:szCs w:val="24"/>
        </w:rPr>
        <w:t>仪表</w:t>
      </w:r>
      <w:r>
        <w:rPr>
          <w:rFonts w:hint="eastAsia" w:ascii="宋体" w:hAnsi="宋体" w:eastAsia="宋体"/>
          <w:color w:val="auto"/>
          <w:sz w:val="24"/>
          <w:szCs w:val="24"/>
        </w:rPr>
        <w:t>、漏电监测</w:t>
      </w:r>
      <w:r>
        <w:rPr>
          <w:rFonts w:ascii="宋体" w:hAnsi="宋体" w:eastAsia="宋体"/>
          <w:color w:val="auto"/>
          <w:sz w:val="24"/>
          <w:szCs w:val="24"/>
        </w:rPr>
        <w:t>、电缆</w:t>
      </w:r>
      <w:r>
        <w:rPr>
          <w:rFonts w:hint="eastAsia" w:ascii="宋体" w:hAnsi="宋体" w:eastAsia="宋体"/>
          <w:color w:val="auto"/>
          <w:sz w:val="24"/>
          <w:szCs w:val="24"/>
        </w:rPr>
        <w:t>测温、</w:t>
      </w:r>
      <w:r>
        <w:rPr>
          <w:rFonts w:ascii="宋体" w:hAnsi="宋体" w:eastAsia="宋体"/>
          <w:color w:val="auto"/>
          <w:sz w:val="24"/>
          <w:szCs w:val="24"/>
        </w:rPr>
        <w:t>配电室环境监测等先进、可靠的</w:t>
      </w:r>
      <w:r>
        <w:rPr>
          <w:rFonts w:hint="eastAsia" w:ascii="宋体" w:hAnsi="宋体" w:eastAsia="宋体"/>
          <w:color w:val="auto"/>
          <w:sz w:val="24"/>
          <w:szCs w:val="24"/>
        </w:rPr>
        <w:t>感知</w:t>
      </w:r>
      <w:r>
        <w:rPr>
          <w:rFonts w:ascii="宋体" w:hAnsi="宋体" w:eastAsia="宋体"/>
          <w:color w:val="auto"/>
          <w:sz w:val="24"/>
          <w:szCs w:val="24"/>
        </w:rPr>
        <w:t>设备，</w:t>
      </w:r>
      <w:r>
        <w:rPr>
          <w:rFonts w:hint="eastAsia" w:ascii="宋体" w:hAnsi="宋体" w:eastAsia="宋体"/>
          <w:color w:val="auto"/>
          <w:sz w:val="24"/>
          <w:szCs w:val="24"/>
        </w:rPr>
        <w:t>自动完成信息采集、测量、控制、保护、计量和监测等基本功能。后端</w:t>
      </w:r>
      <w:r>
        <w:rPr>
          <w:rFonts w:ascii="宋体" w:hAnsi="宋体" w:eastAsia="宋体"/>
          <w:color w:val="auto"/>
          <w:sz w:val="24"/>
          <w:szCs w:val="24"/>
        </w:rPr>
        <w:t>智慧用电运维管理系统</w:t>
      </w:r>
      <w:r>
        <w:rPr>
          <w:rFonts w:hint="eastAsia" w:ascii="宋体" w:hAnsi="宋体" w:eastAsia="宋体"/>
          <w:color w:val="auto"/>
          <w:sz w:val="24"/>
          <w:szCs w:val="24"/>
        </w:rPr>
        <w:t>整合物联网、云计算、大数据处理及电力自动化等领域的前沿理念与技术应用，利用“线上”与“线下”相结合的模式对用户变电站进行全景可视化监控。系统具有24小时不间断电力数据监测和设备实时监控，支持越限</w:t>
      </w:r>
      <w:r>
        <w:rPr>
          <w:rFonts w:ascii="宋体" w:hAnsi="宋体" w:eastAsia="宋体"/>
          <w:color w:val="auto"/>
          <w:sz w:val="24"/>
          <w:szCs w:val="24"/>
        </w:rPr>
        <w:t>告警</w:t>
      </w:r>
      <w:r>
        <w:rPr>
          <w:rFonts w:hint="eastAsia" w:ascii="宋体" w:hAnsi="宋体" w:eastAsia="宋体"/>
          <w:color w:val="auto"/>
          <w:sz w:val="24"/>
          <w:szCs w:val="24"/>
        </w:rPr>
        <w:t>、故障发生时</w:t>
      </w:r>
      <w:r>
        <w:rPr>
          <w:rFonts w:ascii="宋体" w:hAnsi="宋体" w:eastAsia="宋体"/>
          <w:color w:val="auto"/>
          <w:sz w:val="24"/>
          <w:szCs w:val="24"/>
        </w:rPr>
        <w:t>主动推送告警信息</w:t>
      </w:r>
      <w:r>
        <w:rPr>
          <w:rFonts w:hint="eastAsia" w:ascii="宋体" w:hAnsi="宋体" w:eastAsia="宋体"/>
          <w:color w:val="auto"/>
          <w:sz w:val="24"/>
          <w:szCs w:val="24"/>
        </w:rPr>
        <w:t>，电能质量分析、分类分项统计、历史数据查询等功能，并且支持多平台、多终端数据访问，使工作人员全局轻松掌握各站所及监测点的情况，实现了由被动</w:t>
      </w:r>
      <w:r>
        <w:rPr>
          <w:rFonts w:ascii="宋体" w:hAnsi="宋体" w:eastAsia="宋体"/>
          <w:color w:val="auto"/>
          <w:sz w:val="24"/>
          <w:szCs w:val="24"/>
        </w:rPr>
        <w:t>救火式</w:t>
      </w:r>
      <w:r>
        <w:rPr>
          <w:rFonts w:hint="eastAsia" w:ascii="宋体" w:hAnsi="宋体" w:eastAsia="宋体"/>
          <w:color w:val="auto"/>
          <w:sz w:val="24"/>
          <w:szCs w:val="24"/>
        </w:rPr>
        <w:t>运维</w:t>
      </w:r>
      <w:r>
        <w:rPr>
          <w:rFonts w:ascii="宋体" w:hAnsi="宋体" w:eastAsia="宋体"/>
          <w:color w:val="auto"/>
          <w:sz w:val="24"/>
          <w:szCs w:val="24"/>
        </w:rPr>
        <w:t>向主动预警运维的转变</w:t>
      </w:r>
      <w:r>
        <w:rPr>
          <w:rFonts w:hint="eastAsia" w:ascii="宋体" w:hAnsi="宋体" w:eastAsia="宋体"/>
          <w:color w:val="auto"/>
          <w:sz w:val="24"/>
          <w:szCs w:val="24"/>
        </w:rPr>
        <w:t>。保障</w:t>
      </w:r>
      <w:r>
        <w:rPr>
          <w:rFonts w:ascii="宋体" w:hAnsi="宋体" w:eastAsia="宋体"/>
          <w:color w:val="auto"/>
          <w:sz w:val="24"/>
          <w:szCs w:val="24"/>
        </w:rPr>
        <w:t>手术室等重要负荷可靠供电</w:t>
      </w:r>
      <w:r>
        <w:rPr>
          <w:rFonts w:hint="eastAsia" w:ascii="宋体" w:hAnsi="宋体" w:eastAsia="宋体"/>
          <w:color w:val="auto"/>
          <w:sz w:val="24"/>
          <w:szCs w:val="24"/>
        </w:rPr>
        <w:t>，</w:t>
      </w:r>
      <w:r>
        <w:rPr>
          <w:rFonts w:ascii="宋体" w:hAnsi="宋体" w:eastAsia="宋体"/>
          <w:color w:val="auto"/>
          <w:sz w:val="24"/>
          <w:szCs w:val="24"/>
        </w:rPr>
        <w:t>降低突发停电对医疗业务的影响，提升医院配电运维智能化</w:t>
      </w:r>
      <w:r>
        <w:rPr>
          <w:rFonts w:hint="eastAsia" w:ascii="宋体" w:hAnsi="宋体" w:eastAsia="宋体"/>
          <w:color w:val="auto"/>
          <w:sz w:val="24"/>
          <w:szCs w:val="24"/>
        </w:rPr>
        <w:t>管理</w:t>
      </w:r>
      <w:r>
        <w:rPr>
          <w:rFonts w:ascii="宋体" w:hAnsi="宋体" w:eastAsia="宋体"/>
          <w:color w:val="auto"/>
          <w:sz w:val="24"/>
          <w:szCs w:val="24"/>
        </w:rPr>
        <w:t>水平</w:t>
      </w:r>
      <w:r>
        <w:rPr>
          <w:rFonts w:hint="eastAsia" w:ascii="宋体" w:hAnsi="宋体" w:eastAsia="宋体"/>
          <w:color w:val="auto"/>
          <w:sz w:val="24"/>
          <w:szCs w:val="24"/>
        </w:rPr>
        <w:t>，让用户享受到更安全、更经济、更高效的变电站用电服务。</w:t>
      </w:r>
    </w:p>
    <w:p w14:paraId="39A2F4D8">
      <w:pPr>
        <w:spacing w:before="120" w:after="120" w:line="360" w:lineRule="auto"/>
        <w:jc w:val="left"/>
        <w:outlineLvl w:val="1"/>
        <w:rPr>
          <w:rFonts w:ascii="宋体" w:hAnsi="宋体" w:eastAsia="宋体"/>
          <w:b/>
          <w:bCs/>
          <w:color w:val="auto"/>
          <w:sz w:val="28"/>
          <w:szCs w:val="28"/>
        </w:rPr>
      </w:pPr>
      <w:bookmarkStart w:id="42" w:name="_Toc244176119"/>
      <w:bookmarkStart w:id="43" w:name="_Toc244176388"/>
      <w:r>
        <w:rPr>
          <w:rFonts w:hint="eastAsia" w:ascii="宋体" w:hAnsi="宋体" w:eastAsia="宋体"/>
          <w:b/>
          <w:bCs/>
          <w:color w:val="auto"/>
          <w:sz w:val="28"/>
          <w:szCs w:val="28"/>
        </w:rPr>
        <w:t>3.</w:t>
      </w:r>
      <w:r>
        <w:rPr>
          <w:rFonts w:ascii="宋体" w:hAnsi="宋体" w:eastAsia="宋体"/>
          <w:b/>
          <w:bCs/>
          <w:color w:val="auto"/>
          <w:sz w:val="28"/>
          <w:szCs w:val="28"/>
        </w:rPr>
        <w:t>4</w:t>
      </w:r>
      <w:r>
        <w:rPr>
          <w:rFonts w:hint="eastAsia" w:ascii="宋体" w:hAnsi="宋体" w:eastAsia="宋体"/>
          <w:b/>
          <w:bCs/>
          <w:color w:val="auto"/>
          <w:sz w:val="28"/>
          <w:szCs w:val="28"/>
        </w:rPr>
        <w:t xml:space="preserve"> 方案架构</w:t>
      </w:r>
      <w:bookmarkEnd w:id="42"/>
      <w:bookmarkEnd w:id="43"/>
    </w:p>
    <w:p w14:paraId="1416D987">
      <w:pPr>
        <w:spacing w:line="360" w:lineRule="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 xml:space="preserve">    </w:t>
      </w:r>
      <w:r>
        <w:rPr>
          <w:rFonts w:hint="eastAsia" w:ascii="宋体" w:hAnsi="宋体" w:eastAsia="宋体" w:cs="Times New Roman"/>
          <w:color w:val="auto"/>
          <w:sz w:val="24"/>
          <w:szCs w:val="24"/>
        </w:rPr>
        <w:t xml:space="preserve"> 根据国家电网</w:t>
      </w:r>
      <w:r>
        <w:rPr>
          <w:rFonts w:ascii="宋体" w:hAnsi="宋体" w:eastAsia="宋体" w:cs="Times New Roman"/>
          <w:color w:val="auto"/>
          <w:sz w:val="24"/>
          <w:szCs w:val="24"/>
        </w:rPr>
        <w:t>对</w:t>
      </w:r>
      <w:r>
        <w:rPr>
          <w:rFonts w:hint="eastAsia" w:ascii="宋体" w:hAnsi="宋体" w:eastAsia="宋体" w:cs="Times New Roman"/>
          <w:color w:val="auto"/>
          <w:sz w:val="24"/>
          <w:szCs w:val="24"/>
        </w:rPr>
        <w:t>供配电系统智能化、无人化改造升级的总体要求，遵循</w:t>
      </w:r>
      <w:r>
        <w:rPr>
          <w:rFonts w:ascii="宋体" w:hAnsi="宋体" w:eastAsia="宋体" w:cs="Times New Roman"/>
          <w:color w:val="auto"/>
          <w:sz w:val="24"/>
          <w:szCs w:val="24"/>
        </w:rPr>
        <w:t xml:space="preserve"> “统一运维，分级管理”的基本原则，</w:t>
      </w:r>
      <w:r>
        <w:rPr>
          <w:rFonts w:hint="eastAsia" w:ascii="宋体" w:hAnsi="宋体" w:eastAsia="宋体"/>
          <w:color w:val="auto"/>
          <w:sz w:val="24"/>
          <w:szCs w:val="24"/>
          <w:lang w:val="en-US" w:eastAsia="zh-CN"/>
        </w:rPr>
        <w:t>本次招标的</w:t>
      </w:r>
      <w:r>
        <w:rPr>
          <w:rFonts w:hint="eastAsia" w:ascii="宋体" w:hAnsi="宋体" w:eastAsia="宋体"/>
          <w:color w:val="auto"/>
          <w:sz w:val="24"/>
          <w:szCs w:val="24"/>
        </w:rPr>
        <w:t>系统</w:t>
      </w:r>
      <w:r>
        <w:rPr>
          <w:rFonts w:hint="eastAsia" w:ascii="宋体" w:hAnsi="宋体" w:eastAsia="宋体"/>
          <w:color w:val="auto"/>
          <w:sz w:val="24"/>
          <w:szCs w:val="24"/>
          <w:lang w:val="en-US" w:eastAsia="zh-CN"/>
        </w:rPr>
        <w:t>需</w:t>
      </w:r>
      <w:r>
        <w:rPr>
          <w:rFonts w:hint="eastAsia" w:ascii="宋体" w:hAnsi="宋体" w:eastAsia="宋体"/>
          <w:color w:val="auto"/>
          <w:sz w:val="24"/>
          <w:szCs w:val="24"/>
        </w:rPr>
        <w:t>配置一套智能用电运维管理系统，</w:t>
      </w:r>
      <w:r>
        <w:rPr>
          <w:rFonts w:ascii="宋体" w:hAnsi="宋体" w:eastAsia="宋体" w:cs="Times New Roman"/>
          <w:color w:val="auto"/>
          <w:sz w:val="24"/>
          <w:szCs w:val="24"/>
        </w:rPr>
        <w:t>实现对</w:t>
      </w:r>
      <w:r>
        <w:rPr>
          <w:rFonts w:hint="eastAsia" w:ascii="宋体" w:hAnsi="宋体" w:eastAsia="宋体" w:cs="Times New Roman"/>
          <w:color w:val="auto"/>
          <w:sz w:val="24"/>
          <w:szCs w:val="24"/>
        </w:rPr>
        <w:t>医院供配电系统</w:t>
      </w:r>
      <w:r>
        <w:rPr>
          <w:rFonts w:ascii="宋体" w:hAnsi="宋体" w:eastAsia="宋体" w:cs="Times New Roman"/>
          <w:color w:val="auto"/>
          <w:sz w:val="24"/>
          <w:szCs w:val="24"/>
        </w:rPr>
        <w:t>运行无死角、全流程、差别化、精细化管理，实现从“点末端监控”向“全过程监控”扩展，立足用户价值，打造</w:t>
      </w:r>
      <w:r>
        <w:rPr>
          <w:rFonts w:hint="eastAsia" w:ascii="宋体" w:hAnsi="宋体" w:eastAsia="宋体" w:cs="Times New Roman"/>
          <w:color w:val="auto"/>
          <w:sz w:val="24"/>
          <w:szCs w:val="24"/>
        </w:rPr>
        <w:t>供配电系统</w:t>
      </w:r>
      <w:r>
        <w:rPr>
          <w:rFonts w:ascii="宋体" w:hAnsi="宋体" w:eastAsia="宋体" w:cs="Times New Roman"/>
          <w:color w:val="auto"/>
          <w:sz w:val="24"/>
          <w:szCs w:val="24"/>
        </w:rPr>
        <w:t>一站式服务。</w:t>
      </w:r>
    </w:p>
    <w:p w14:paraId="42600008">
      <w:pPr>
        <w:spacing w:line="360" w:lineRule="auto"/>
        <w:ind w:firstLine="480"/>
        <w:rPr>
          <w:rFonts w:hint="eastAsia" w:ascii="宋体" w:hAnsi="宋体" w:eastAsia="宋体" w:cs="Times New Roman"/>
          <w:color w:val="auto"/>
          <w:sz w:val="24"/>
          <w:szCs w:val="24"/>
        </w:rPr>
      </w:pPr>
      <w:r>
        <w:rPr>
          <w:rFonts w:hint="eastAsia" w:ascii="宋体" w:hAnsi="宋体" w:eastAsia="宋体" w:cs="Times New Roman"/>
          <w:color w:val="auto"/>
          <w:sz w:val="24"/>
          <w:szCs w:val="24"/>
        </w:rPr>
        <w:t>方案架构如下图所示。</w:t>
      </w:r>
    </w:p>
    <w:p w14:paraId="47DE4734">
      <w:pPr>
        <w:spacing w:line="360" w:lineRule="auto"/>
        <w:rPr>
          <w:rFonts w:ascii="宋体" w:hAnsi="宋体" w:eastAsia="宋体" w:cs="Times New Roman"/>
          <w:color w:val="auto"/>
          <w:sz w:val="24"/>
          <w:szCs w:val="24"/>
        </w:rPr>
      </w:pPr>
      <w:r>
        <w:rPr>
          <w:color w:val="auto"/>
        </w:rPr>
        <w:drawing>
          <wp:inline distT="0" distB="0" distL="0" distR="0">
            <wp:extent cx="5273675" cy="321437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274000" cy="3214800"/>
                    </a:xfrm>
                    <a:prstGeom prst="rect">
                      <a:avLst/>
                    </a:prstGeom>
                    <a:noFill/>
                    <a:ln>
                      <a:noFill/>
                    </a:ln>
                  </pic:spPr>
                </pic:pic>
              </a:graphicData>
            </a:graphic>
          </wp:inline>
        </w:drawing>
      </w:r>
    </w:p>
    <w:p w14:paraId="1B4C85A3">
      <w:pPr>
        <w:spacing w:line="360" w:lineRule="auto"/>
        <w:rPr>
          <w:rFonts w:hint="eastAsia" w:ascii="宋体" w:hAnsi="宋体" w:eastAsia="宋体" w:cs="Times New Roman"/>
          <w:color w:val="auto"/>
          <w:sz w:val="24"/>
          <w:szCs w:val="24"/>
        </w:rPr>
      </w:pPr>
    </w:p>
    <w:p w14:paraId="0ECA6326">
      <w:pPr>
        <w:spacing w:before="120" w:after="120" w:line="360" w:lineRule="auto"/>
        <w:jc w:val="left"/>
        <w:outlineLvl w:val="0"/>
        <w:rPr>
          <w:rFonts w:hint="eastAsia" w:ascii="宋体" w:hAnsi="宋体" w:eastAsia="宋体"/>
          <w:b/>
          <w:bCs/>
          <w:color w:val="auto"/>
          <w:sz w:val="30"/>
          <w:szCs w:val="30"/>
        </w:rPr>
      </w:pPr>
      <w:bookmarkStart w:id="44" w:name="_Toc244176120"/>
      <w:bookmarkStart w:id="45" w:name="_Toc244176389"/>
      <w:r>
        <w:rPr>
          <w:rFonts w:hint="eastAsia" w:ascii="宋体" w:hAnsi="宋体" w:eastAsia="宋体"/>
          <w:b/>
          <w:bCs/>
          <w:color w:val="auto"/>
          <w:sz w:val="30"/>
          <w:szCs w:val="30"/>
        </w:rPr>
        <w:t>四、</w:t>
      </w:r>
      <w:r>
        <w:rPr>
          <w:rFonts w:ascii="宋体" w:hAnsi="宋体" w:eastAsia="宋体"/>
          <w:b/>
          <w:bCs/>
          <w:color w:val="auto"/>
          <w:sz w:val="30"/>
          <w:szCs w:val="30"/>
        </w:rPr>
        <w:t>智能用电运维管理系统</w:t>
      </w:r>
      <w:r>
        <w:rPr>
          <w:rFonts w:hint="eastAsia" w:ascii="宋体" w:hAnsi="宋体" w:eastAsia="宋体"/>
          <w:b/>
          <w:bCs/>
          <w:color w:val="auto"/>
          <w:sz w:val="30"/>
          <w:szCs w:val="30"/>
        </w:rPr>
        <w:t>技术要求</w:t>
      </w:r>
      <w:bookmarkEnd w:id="44"/>
      <w:bookmarkEnd w:id="45"/>
    </w:p>
    <w:p w14:paraId="7553BB59">
      <w:pPr>
        <w:spacing w:before="120" w:after="120" w:line="360" w:lineRule="auto"/>
        <w:jc w:val="left"/>
        <w:outlineLvl w:val="1"/>
        <w:rPr>
          <w:rFonts w:ascii="宋体" w:hAnsi="宋体" w:eastAsia="宋体"/>
          <w:b/>
          <w:bCs/>
          <w:color w:val="auto"/>
          <w:sz w:val="28"/>
          <w:szCs w:val="28"/>
        </w:rPr>
      </w:pPr>
      <w:bookmarkStart w:id="46" w:name="_Toc244176121"/>
      <w:bookmarkStart w:id="47" w:name="_Toc244176390"/>
      <w:r>
        <w:rPr>
          <w:rFonts w:hint="eastAsia" w:ascii="宋体" w:hAnsi="宋体" w:eastAsia="宋体"/>
          <w:b/>
          <w:bCs/>
          <w:color w:val="auto"/>
          <w:sz w:val="28"/>
          <w:szCs w:val="28"/>
        </w:rPr>
        <w:t>4.1 电力监控装置</w:t>
      </w:r>
      <w:bookmarkEnd w:id="46"/>
      <w:bookmarkEnd w:id="47"/>
    </w:p>
    <w:p w14:paraId="48F8BEF0">
      <w:pPr>
        <w:spacing w:before="120" w:after="120" w:line="360" w:lineRule="auto"/>
        <w:jc w:val="left"/>
        <w:outlineLvl w:val="2"/>
        <w:rPr>
          <w:rFonts w:ascii="宋体" w:hAnsi="宋体" w:eastAsia="宋体"/>
          <w:b/>
          <w:bCs/>
          <w:color w:val="auto"/>
          <w:sz w:val="24"/>
          <w:szCs w:val="24"/>
        </w:rPr>
      </w:pPr>
      <w:bookmarkStart w:id="48" w:name="_Toc84604138"/>
      <w:bookmarkStart w:id="49" w:name="_Toc135496046"/>
      <w:bookmarkStart w:id="50" w:name="_Toc504724458"/>
      <w:bookmarkStart w:id="51" w:name="_Toc300149486"/>
      <w:bookmarkStart w:id="52" w:name="_Toc135680797"/>
      <w:bookmarkStart w:id="53" w:name="_Toc277436193"/>
      <w:bookmarkStart w:id="54" w:name="_Toc238818747"/>
      <w:bookmarkStart w:id="55" w:name="_Toc84604294"/>
      <w:bookmarkStart w:id="56" w:name="_Toc277530051"/>
      <w:bookmarkStart w:id="57" w:name="_Toc244176122"/>
      <w:bookmarkStart w:id="58" w:name="_Toc244176391"/>
      <w:r>
        <w:rPr>
          <w:rFonts w:hint="eastAsia" w:ascii="宋体" w:hAnsi="宋体" w:eastAsia="宋体"/>
          <w:b/>
          <w:bCs/>
          <w:color w:val="auto"/>
          <w:sz w:val="24"/>
          <w:szCs w:val="24"/>
        </w:rPr>
        <w:t>4</w:t>
      </w:r>
      <w:r>
        <w:rPr>
          <w:rFonts w:ascii="宋体" w:hAnsi="宋体" w:eastAsia="宋体"/>
          <w:b/>
          <w:bCs/>
          <w:color w:val="auto"/>
          <w:sz w:val="24"/>
          <w:szCs w:val="24"/>
        </w:rPr>
        <w:t>.1.1</w:t>
      </w:r>
      <w:bookmarkEnd w:id="48"/>
      <w:bookmarkEnd w:id="49"/>
      <w:bookmarkEnd w:id="50"/>
      <w:bookmarkEnd w:id="51"/>
      <w:bookmarkEnd w:id="52"/>
      <w:bookmarkEnd w:id="53"/>
      <w:bookmarkEnd w:id="54"/>
      <w:bookmarkEnd w:id="55"/>
      <w:bookmarkEnd w:id="56"/>
      <w:r>
        <w:rPr>
          <w:rFonts w:hint="eastAsia" w:ascii="宋体" w:hAnsi="宋体" w:eastAsia="宋体"/>
          <w:b/>
          <w:bCs/>
          <w:color w:val="auto"/>
          <w:sz w:val="24"/>
          <w:szCs w:val="24"/>
        </w:rPr>
        <w:t xml:space="preserve"> 配电箱漏电保护装置</w:t>
      </w:r>
      <w:bookmarkEnd w:id="57"/>
      <w:bookmarkEnd w:id="58"/>
    </w:p>
    <w:p w14:paraId="38972ACC">
      <w:pPr>
        <w:spacing w:line="360" w:lineRule="auto"/>
        <w:ind w:firstLine="480" w:firstLineChars="200"/>
        <w:rPr>
          <w:rFonts w:ascii="Times New Roman" w:hAnsi="Times New Roman" w:eastAsia="宋体" w:cs="Times New Roman"/>
          <w:color w:val="auto"/>
          <w:kern w:val="0"/>
          <w:sz w:val="24"/>
          <w:szCs w:val="24"/>
        </w:rPr>
      </w:pPr>
      <w:r>
        <w:rPr>
          <w:rFonts w:hint="eastAsia" w:ascii="宋体" w:hAnsi="宋体" w:eastAsia="宋体"/>
          <w:color w:val="auto"/>
          <w:sz w:val="24"/>
          <w:szCs w:val="24"/>
          <w:lang w:val="en-US" w:eastAsia="zh-CN"/>
        </w:rPr>
        <w:t>本次招标的</w:t>
      </w:r>
      <w:r>
        <w:rPr>
          <w:rFonts w:hint="eastAsia" w:ascii="宋体" w:hAnsi="宋体" w:eastAsia="宋体"/>
          <w:color w:val="auto"/>
          <w:sz w:val="24"/>
          <w:szCs w:val="24"/>
        </w:rPr>
        <w:t>系统</w:t>
      </w:r>
      <w:r>
        <w:rPr>
          <w:rFonts w:ascii="Times New Roman" w:hAnsi="Times New Roman" w:eastAsia="宋体" w:cs="Times New Roman"/>
          <w:color w:val="auto"/>
          <w:kern w:val="0"/>
          <w:sz w:val="24"/>
          <w:szCs w:val="24"/>
        </w:rPr>
        <w:t>为全院整体改造，需对医院现有老旧配电箱、配电柜进行智能化升级。清单数量为实际改造工程量，技术规格以功能实现为准，不限定具体壳体形式（如塑壳、框架等符合国标的形式均可），但须满足以下功能与性能要求。</w:t>
      </w:r>
    </w:p>
    <w:p w14:paraId="394EF692">
      <w:pPr>
        <w:spacing w:line="360" w:lineRule="auto"/>
        <w:rPr>
          <w:rFonts w:ascii="Times New Roman" w:hAnsi="Times New Roman" w:eastAsia="宋体" w:cs="Times New Roman"/>
          <w:b/>
          <w:color w:val="auto"/>
          <w:kern w:val="0"/>
          <w:sz w:val="24"/>
          <w:szCs w:val="24"/>
        </w:rPr>
      </w:pPr>
      <w:r>
        <w:rPr>
          <w:rFonts w:ascii="Times New Roman" w:hAnsi="Times New Roman" w:eastAsia="宋体" w:cs="Times New Roman"/>
          <w:b/>
          <w:color w:val="auto"/>
          <w:kern w:val="0"/>
          <w:sz w:val="24"/>
          <w:szCs w:val="24"/>
        </w:rPr>
        <w:t>（1）智能单相剩余电流动作继电器 (4G机械款)</w:t>
      </w:r>
    </w:p>
    <w:p w14:paraId="79349D08">
      <w:pPr>
        <w:spacing w:line="360" w:lineRule="auto"/>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单相</w:t>
      </w:r>
      <w:r>
        <w:rPr>
          <w:rFonts w:ascii="Times New Roman" w:hAnsi="Times New Roman" w:eastAsia="宋体" w:cs="Times New Roman"/>
          <w:color w:val="auto"/>
          <w:sz w:val="24"/>
          <w:szCs w:val="24"/>
        </w:rPr>
        <w:t>2P智能4G漏电断路器，集成防触电、电参量监测功能，通过4G无线上传运行信息，实现末端单相回路远程监控、故障预警。</w:t>
      </w:r>
      <w:r>
        <w:rPr>
          <w:rFonts w:hint="eastAsia" w:ascii="Times New Roman" w:hAnsi="Times New Roman" w:eastAsia="宋体" w:cs="Times New Roman"/>
          <w:color w:val="auto"/>
          <w:sz w:val="24"/>
          <w:szCs w:val="24"/>
        </w:rPr>
        <w:t>适合病房、照明、插座这类单相回路改造。</w:t>
      </w:r>
    </w:p>
    <w:p w14:paraId="146812ED">
      <w:pPr>
        <w:spacing w:line="360" w:lineRule="auto"/>
        <w:ind w:firstLine="480" w:firstLineChars="20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主要功能</w:t>
      </w:r>
      <w:r>
        <w:rPr>
          <w:rFonts w:ascii="Times New Roman" w:hAnsi="Times New Roman" w:eastAsia="宋体" w:cs="Times New Roman"/>
          <w:color w:val="auto"/>
          <w:kern w:val="0"/>
          <w:sz w:val="24"/>
          <w:szCs w:val="24"/>
        </w:rPr>
        <w:t>：</w:t>
      </w:r>
    </w:p>
    <w:p w14:paraId="078C14F8">
      <w:pPr>
        <w:widowControl/>
        <w:spacing w:line="360" w:lineRule="auto"/>
        <w:ind w:firstLine="840" w:firstLineChars="350"/>
        <w:jc w:val="left"/>
        <w:rPr>
          <w:rFonts w:ascii="Times New Roman" w:hAnsi="Times New Roman" w:eastAsia="宋体" w:cs="Times New Roman"/>
          <w:bCs/>
          <w:color w:val="auto"/>
          <w:kern w:val="0"/>
          <w:sz w:val="24"/>
          <w:szCs w:val="24"/>
        </w:rPr>
      </w:pPr>
      <w:r>
        <w:rPr>
          <w:rFonts w:ascii="Times New Roman" w:hAnsi="Times New Roman" w:eastAsia="宋体" w:cs="Times New Roman"/>
          <w:bCs/>
          <w:color w:val="auto"/>
          <w:kern w:val="0"/>
          <w:sz w:val="24"/>
          <w:szCs w:val="24"/>
        </w:rPr>
        <w:t>●合闸前自动检测</w:t>
      </w:r>
    </w:p>
    <w:p w14:paraId="327EADFD">
      <w:pPr>
        <w:widowControl/>
        <w:spacing w:line="360" w:lineRule="auto"/>
        <w:ind w:firstLine="840" w:firstLineChars="350"/>
        <w:jc w:val="left"/>
        <w:rPr>
          <w:rFonts w:ascii="Times New Roman" w:hAnsi="Times New Roman" w:eastAsia="宋体" w:cs="Times New Roman"/>
          <w:bCs/>
          <w:color w:val="auto"/>
          <w:kern w:val="0"/>
          <w:sz w:val="24"/>
          <w:szCs w:val="24"/>
        </w:rPr>
      </w:pPr>
      <w:r>
        <w:rPr>
          <w:rFonts w:ascii="Times New Roman" w:hAnsi="Times New Roman" w:eastAsia="宋体" w:cs="Times New Roman"/>
          <w:bCs/>
          <w:color w:val="auto"/>
          <w:kern w:val="0"/>
          <w:sz w:val="24"/>
          <w:szCs w:val="24"/>
        </w:rPr>
        <w:t>●智能漏电识别保护</w:t>
      </w:r>
    </w:p>
    <w:p w14:paraId="7FDCDA2C">
      <w:pPr>
        <w:spacing w:line="360" w:lineRule="auto"/>
        <w:ind w:firstLine="840" w:firstLineChars="350"/>
        <w:rPr>
          <w:rFonts w:ascii="Times New Roman" w:hAnsi="Times New Roman" w:eastAsia="宋体" w:cs="Times New Roman"/>
          <w:bCs/>
          <w:color w:val="auto"/>
          <w:kern w:val="0"/>
          <w:sz w:val="24"/>
          <w:szCs w:val="24"/>
        </w:rPr>
      </w:pPr>
      <w:r>
        <w:rPr>
          <w:rFonts w:ascii="Times New Roman" w:hAnsi="Times New Roman" w:eastAsia="宋体" w:cs="Times New Roman"/>
          <w:bCs/>
          <w:color w:val="auto"/>
          <w:kern w:val="0"/>
          <w:sz w:val="24"/>
          <w:szCs w:val="24"/>
        </w:rPr>
        <w:t xml:space="preserve">●过压保护 </w:t>
      </w:r>
    </w:p>
    <w:p w14:paraId="70A58A8F">
      <w:pPr>
        <w:spacing w:line="360" w:lineRule="auto"/>
        <w:ind w:firstLine="960" w:firstLineChars="400"/>
        <w:rPr>
          <w:rFonts w:ascii="Times New Roman" w:hAnsi="Times New Roman" w:eastAsia="宋体" w:cs="Times New Roman"/>
          <w:bCs/>
          <w:color w:val="auto"/>
          <w:kern w:val="0"/>
          <w:sz w:val="24"/>
          <w:szCs w:val="24"/>
        </w:rPr>
      </w:pPr>
      <w:r>
        <w:rPr>
          <w:rFonts w:ascii="Times New Roman" w:hAnsi="Times New Roman" w:eastAsia="宋体" w:cs="Times New Roman"/>
          <w:bCs/>
          <w:color w:val="auto"/>
          <w:kern w:val="0"/>
          <w:sz w:val="24"/>
          <w:szCs w:val="24"/>
        </w:rPr>
        <w:t>●零线断开保护</w:t>
      </w:r>
    </w:p>
    <w:p w14:paraId="305CAA28">
      <w:pPr>
        <w:spacing w:line="360" w:lineRule="auto"/>
        <w:ind w:firstLine="840" w:firstLineChars="350"/>
        <w:rPr>
          <w:rFonts w:ascii="Times New Roman" w:hAnsi="Times New Roman" w:eastAsia="宋体" w:cs="Times New Roman"/>
          <w:bCs/>
          <w:color w:val="auto"/>
          <w:kern w:val="0"/>
          <w:sz w:val="24"/>
          <w:szCs w:val="24"/>
        </w:rPr>
      </w:pPr>
      <w:r>
        <w:rPr>
          <w:rFonts w:ascii="Times New Roman" w:hAnsi="Times New Roman" w:eastAsia="宋体" w:cs="Times New Roman"/>
          <w:bCs/>
          <w:color w:val="auto"/>
          <w:kern w:val="0"/>
          <w:sz w:val="24"/>
          <w:szCs w:val="24"/>
        </w:rPr>
        <w:t xml:space="preserve">●欠压保护 </w:t>
      </w:r>
    </w:p>
    <w:p w14:paraId="74022ECB">
      <w:pPr>
        <w:spacing w:line="360" w:lineRule="auto"/>
        <w:ind w:firstLine="840" w:firstLineChars="350"/>
        <w:rPr>
          <w:rFonts w:ascii="Times New Roman" w:hAnsi="Times New Roman" w:eastAsia="宋体" w:cs="Times New Roman"/>
          <w:bCs/>
          <w:color w:val="auto"/>
          <w:kern w:val="0"/>
          <w:sz w:val="24"/>
          <w:szCs w:val="24"/>
        </w:rPr>
      </w:pPr>
      <w:r>
        <w:rPr>
          <w:rFonts w:ascii="Times New Roman" w:hAnsi="Times New Roman" w:eastAsia="宋体" w:cs="Times New Roman"/>
          <w:bCs/>
          <w:color w:val="auto"/>
          <w:kern w:val="0"/>
          <w:sz w:val="24"/>
          <w:szCs w:val="24"/>
        </w:rPr>
        <w:t>●断电时自动断开</w:t>
      </w:r>
    </w:p>
    <w:p w14:paraId="7042F07C">
      <w:pPr>
        <w:spacing w:line="360" w:lineRule="auto"/>
        <w:ind w:firstLine="840" w:firstLineChars="350"/>
        <w:rPr>
          <w:rFonts w:ascii="Times New Roman" w:hAnsi="Times New Roman" w:eastAsia="宋体" w:cs="Times New Roman"/>
          <w:bCs/>
          <w:color w:val="auto"/>
          <w:kern w:val="0"/>
          <w:sz w:val="24"/>
          <w:szCs w:val="24"/>
        </w:rPr>
      </w:pPr>
      <w:r>
        <w:rPr>
          <w:rFonts w:ascii="Times New Roman" w:hAnsi="Times New Roman" w:eastAsia="宋体" w:cs="Times New Roman"/>
          <w:bCs/>
          <w:color w:val="auto"/>
          <w:kern w:val="0"/>
          <w:sz w:val="24"/>
          <w:szCs w:val="24"/>
        </w:rPr>
        <w:t xml:space="preserve">●过流保护 </w:t>
      </w:r>
    </w:p>
    <w:p w14:paraId="45E1D49F">
      <w:pPr>
        <w:spacing w:line="360" w:lineRule="auto"/>
        <w:ind w:firstLine="840" w:firstLineChars="350"/>
        <w:rPr>
          <w:rFonts w:ascii="Times New Roman" w:hAnsi="Times New Roman" w:eastAsia="宋体" w:cs="Times New Roman"/>
          <w:bCs/>
          <w:color w:val="auto"/>
          <w:kern w:val="0"/>
          <w:sz w:val="24"/>
          <w:szCs w:val="24"/>
        </w:rPr>
      </w:pPr>
      <w:r>
        <w:rPr>
          <w:rFonts w:ascii="Times New Roman" w:hAnsi="Times New Roman" w:eastAsia="宋体" w:cs="Times New Roman"/>
          <w:bCs/>
          <w:color w:val="auto"/>
          <w:kern w:val="0"/>
          <w:sz w:val="24"/>
          <w:szCs w:val="24"/>
        </w:rPr>
        <w:t>●防雷性能保护</w:t>
      </w:r>
    </w:p>
    <w:p w14:paraId="2A93EE2A">
      <w:pPr>
        <w:spacing w:line="360" w:lineRule="auto"/>
        <w:ind w:firstLine="840" w:firstLineChars="350"/>
        <w:rPr>
          <w:rFonts w:ascii="Times New Roman" w:hAnsi="Times New Roman" w:eastAsia="宋体" w:cs="Times New Roman"/>
          <w:bCs/>
          <w:color w:val="auto"/>
          <w:kern w:val="0"/>
          <w:sz w:val="24"/>
          <w:szCs w:val="24"/>
        </w:rPr>
      </w:pPr>
      <w:r>
        <w:rPr>
          <w:rFonts w:ascii="Times New Roman" w:hAnsi="Times New Roman" w:eastAsia="宋体" w:cs="Times New Roman"/>
          <w:bCs/>
          <w:color w:val="auto"/>
          <w:kern w:val="0"/>
          <w:sz w:val="24"/>
          <w:szCs w:val="24"/>
        </w:rPr>
        <w:t xml:space="preserve">●短路保护 </w:t>
      </w:r>
    </w:p>
    <w:p w14:paraId="7E9E486A">
      <w:pPr>
        <w:spacing w:line="360" w:lineRule="auto"/>
        <w:ind w:firstLine="840" w:firstLineChars="350"/>
        <w:rPr>
          <w:rFonts w:ascii="Times New Roman" w:hAnsi="Times New Roman" w:eastAsia="宋体" w:cs="Times New Roman"/>
          <w:bCs/>
          <w:color w:val="auto"/>
          <w:kern w:val="0"/>
          <w:sz w:val="24"/>
          <w:szCs w:val="24"/>
        </w:rPr>
      </w:pPr>
      <w:r>
        <w:rPr>
          <w:rFonts w:ascii="Times New Roman" w:hAnsi="Times New Roman" w:eastAsia="宋体" w:cs="Times New Roman"/>
          <w:bCs/>
          <w:color w:val="auto"/>
          <w:kern w:val="0"/>
          <w:sz w:val="24"/>
          <w:szCs w:val="24"/>
        </w:rPr>
        <w:t>●保护参数可调</w:t>
      </w:r>
    </w:p>
    <w:p w14:paraId="3CB1CDA7">
      <w:pPr>
        <w:spacing w:line="360" w:lineRule="auto"/>
        <w:ind w:firstLine="840" w:firstLineChars="350"/>
        <w:rPr>
          <w:rFonts w:ascii="Times New Roman" w:hAnsi="Times New Roman" w:eastAsia="宋体" w:cs="Times New Roman"/>
          <w:bCs/>
          <w:color w:val="auto"/>
          <w:kern w:val="0"/>
          <w:sz w:val="24"/>
          <w:szCs w:val="24"/>
        </w:rPr>
      </w:pPr>
      <w:r>
        <w:rPr>
          <w:rFonts w:ascii="Times New Roman" w:hAnsi="Times New Roman" w:eastAsia="宋体" w:cs="Times New Roman"/>
          <w:bCs/>
          <w:color w:val="auto"/>
          <w:kern w:val="0"/>
          <w:sz w:val="24"/>
          <w:szCs w:val="24"/>
        </w:rPr>
        <w:t>●4G通讯功能</w:t>
      </w:r>
    </w:p>
    <w:p w14:paraId="76ED3832">
      <w:pPr>
        <w:spacing w:line="360" w:lineRule="auto"/>
        <w:ind w:firstLine="840" w:firstLineChars="350"/>
        <w:rPr>
          <w:rFonts w:ascii="Times New Roman" w:hAnsi="Times New Roman" w:eastAsia="宋体" w:cs="Times New Roman"/>
          <w:bCs/>
          <w:color w:val="auto"/>
          <w:kern w:val="0"/>
          <w:sz w:val="24"/>
          <w:szCs w:val="24"/>
        </w:rPr>
      </w:pPr>
      <w:r>
        <w:rPr>
          <w:rFonts w:ascii="Times New Roman" w:hAnsi="Times New Roman" w:eastAsia="宋体" w:cs="Times New Roman"/>
          <w:bCs/>
          <w:color w:val="auto"/>
          <w:kern w:val="0"/>
          <w:sz w:val="24"/>
          <w:szCs w:val="24"/>
        </w:rPr>
        <w:t>●温控检测功能</w:t>
      </w:r>
    </w:p>
    <w:p w14:paraId="6D6F0EF5">
      <w:pPr>
        <w:spacing w:line="360" w:lineRule="auto"/>
        <w:ind w:firstLine="840" w:firstLineChars="350"/>
        <w:rPr>
          <w:rFonts w:ascii="Times New Roman" w:hAnsi="Times New Roman" w:eastAsia="宋体" w:cs="Times New Roman"/>
          <w:color w:val="auto"/>
          <w:kern w:val="0"/>
          <w:sz w:val="24"/>
          <w:szCs w:val="24"/>
        </w:rPr>
      </w:pPr>
      <w:r>
        <w:rPr>
          <w:rFonts w:ascii="Times New Roman" w:hAnsi="Times New Roman" w:eastAsia="宋体" w:cs="Times New Roman"/>
          <w:bCs/>
          <w:color w:val="auto"/>
          <w:kern w:val="0"/>
          <w:sz w:val="24"/>
          <w:szCs w:val="24"/>
        </w:rPr>
        <w:t>● 预防浸水防触电</w:t>
      </w:r>
    </w:p>
    <w:p w14:paraId="370325F8">
      <w:pPr>
        <w:spacing w:line="360" w:lineRule="auto"/>
        <w:rPr>
          <w:rFonts w:ascii="Times New Roman" w:hAnsi="Times New Roman" w:eastAsia="宋体" w:cs="Times New Roman"/>
          <w:b/>
          <w:color w:val="auto"/>
          <w:kern w:val="0"/>
          <w:sz w:val="24"/>
          <w:szCs w:val="24"/>
        </w:rPr>
      </w:pPr>
      <w:r>
        <w:rPr>
          <w:rFonts w:ascii="Times New Roman" w:hAnsi="Times New Roman" w:eastAsia="宋体" w:cs="Times New Roman"/>
          <w:b/>
          <w:color w:val="auto"/>
          <w:sz w:val="24"/>
          <w:szCs w:val="24"/>
        </w:rPr>
        <w:t>（2）智能三相剩余电流动作继电器</w:t>
      </w:r>
      <w:r>
        <w:rPr>
          <w:rFonts w:ascii="Times New Roman" w:hAnsi="Times New Roman" w:eastAsia="宋体" w:cs="Times New Roman"/>
          <w:b/>
          <w:color w:val="auto"/>
          <w:kern w:val="0"/>
          <w:sz w:val="24"/>
          <w:szCs w:val="24"/>
        </w:rPr>
        <w:t>(4G机械款)：</w:t>
      </w:r>
    </w:p>
    <w:p w14:paraId="096F4A20">
      <w:pPr>
        <w:spacing w:line="360" w:lineRule="auto"/>
        <w:ind w:firstLine="360" w:firstLineChars="15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该产品是一体式智能漏电断路器，开关和智能采集模块集成在一起，</w:t>
      </w:r>
      <w:r>
        <w:rPr>
          <w:rFonts w:ascii="Times New Roman" w:hAnsi="Times New Roman" w:eastAsia="宋体" w:cs="Times New Roman"/>
          <w:color w:val="auto"/>
          <w:sz w:val="24"/>
          <w:szCs w:val="24"/>
        </w:rPr>
        <w:t>4P三相四线，可以直接分断主回路</w:t>
      </w:r>
      <w:r>
        <w:rPr>
          <w:rFonts w:hint="eastAsia" w:ascii="Times New Roman" w:hAnsi="Times New Roman" w:eastAsia="宋体" w:cs="Times New Roman"/>
          <w:color w:val="auto"/>
          <w:sz w:val="24"/>
          <w:szCs w:val="24"/>
        </w:rPr>
        <w:t>。</w:t>
      </w:r>
    </w:p>
    <w:p w14:paraId="2B3F7306">
      <w:pPr>
        <w:widowControl/>
        <w:spacing w:line="360" w:lineRule="auto"/>
        <w:ind w:firstLine="360" w:firstLineChars="150"/>
        <w:jc w:val="left"/>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主要功能：</w:t>
      </w:r>
    </w:p>
    <w:p w14:paraId="4425F979">
      <w:pPr>
        <w:widowControl/>
        <w:spacing w:line="360" w:lineRule="auto"/>
        <w:ind w:firstLine="840" w:firstLineChars="350"/>
        <w:jc w:val="left"/>
        <w:rPr>
          <w:rFonts w:ascii="Times New Roman" w:hAnsi="Times New Roman" w:eastAsia="宋体" w:cs="Times New Roman"/>
          <w:bCs/>
          <w:color w:val="auto"/>
          <w:kern w:val="0"/>
          <w:sz w:val="24"/>
          <w:szCs w:val="24"/>
        </w:rPr>
      </w:pPr>
      <w:r>
        <w:rPr>
          <w:rFonts w:ascii="Times New Roman" w:hAnsi="Times New Roman" w:eastAsia="宋体" w:cs="Times New Roman"/>
          <w:bCs/>
          <w:color w:val="auto"/>
          <w:kern w:val="0"/>
          <w:sz w:val="24"/>
          <w:szCs w:val="24"/>
        </w:rPr>
        <w:t>● 合闸前自动检测</w:t>
      </w:r>
    </w:p>
    <w:p w14:paraId="62816CB8">
      <w:pPr>
        <w:widowControl/>
        <w:spacing w:line="360" w:lineRule="auto"/>
        <w:ind w:firstLine="840" w:firstLineChars="350"/>
        <w:jc w:val="left"/>
        <w:rPr>
          <w:rFonts w:ascii="Times New Roman" w:hAnsi="Times New Roman" w:eastAsia="宋体" w:cs="Times New Roman"/>
          <w:bCs/>
          <w:color w:val="auto"/>
          <w:kern w:val="0"/>
          <w:sz w:val="24"/>
          <w:szCs w:val="24"/>
        </w:rPr>
      </w:pPr>
      <w:r>
        <w:rPr>
          <w:rFonts w:ascii="Times New Roman" w:hAnsi="Times New Roman" w:eastAsia="宋体" w:cs="Times New Roman"/>
          <w:bCs/>
          <w:color w:val="auto"/>
          <w:kern w:val="0"/>
          <w:sz w:val="24"/>
          <w:szCs w:val="24"/>
        </w:rPr>
        <w:t>● 智能漏电识别保护</w:t>
      </w:r>
    </w:p>
    <w:p w14:paraId="139CFD7C">
      <w:pPr>
        <w:widowControl/>
        <w:spacing w:line="360" w:lineRule="auto"/>
        <w:ind w:firstLine="840" w:firstLineChars="350"/>
        <w:jc w:val="left"/>
        <w:rPr>
          <w:rFonts w:ascii="Times New Roman" w:hAnsi="Times New Roman" w:eastAsia="宋体" w:cs="Times New Roman"/>
          <w:bCs/>
          <w:color w:val="auto"/>
          <w:kern w:val="0"/>
          <w:sz w:val="24"/>
          <w:szCs w:val="24"/>
        </w:rPr>
      </w:pPr>
      <w:r>
        <w:rPr>
          <w:rFonts w:ascii="Times New Roman" w:hAnsi="Times New Roman" w:eastAsia="宋体" w:cs="Times New Roman"/>
          <w:bCs/>
          <w:color w:val="auto"/>
          <w:kern w:val="0"/>
          <w:sz w:val="24"/>
          <w:szCs w:val="24"/>
        </w:rPr>
        <w:t xml:space="preserve">● 过压保护 </w:t>
      </w:r>
    </w:p>
    <w:p w14:paraId="2D13D281">
      <w:pPr>
        <w:widowControl/>
        <w:spacing w:line="360" w:lineRule="auto"/>
        <w:ind w:firstLine="840" w:firstLineChars="350"/>
        <w:jc w:val="left"/>
        <w:rPr>
          <w:rFonts w:ascii="Times New Roman" w:hAnsi="Times New Roman" w:eastAsia="宋体" w:cs="Times New Roman"/>
          <w:bCs/>
          <w:color w:val="auto"/>
          <w:kern w:val="0"/>
          <w:sz w:val="24"/>
          <w:szCs w:val="24"/>
        </w:rPr>
      </w:pPr>
      <w:r>
        <w:rPr>
          <w:rFonts w:ascii="Times New Roman" w:hAnsi="Times New Roman" w:eastAsia="宋体" w:cs="Times New Roman"/>
          <w:bCs/>
          <w:color w:val="auto"/>
          <w:kern w:val="0"/>
          <w:sz w:val="24"/>
          <w:szCs w:val="24"/>
        </w:rPr>
        <w:t>● 零线断开保护</w:t>
      </w:r>
    </w:p>
    <w:p w14:paraId="6F9176B8">
      <w:pPr>
        <w:widowControl/>
        <w:spacing w:line="360" w:lineRule="auto"/>
        <w:ind w:firstLine="840" w:firstLineChars="350"/>
        <w:jc w:val="left"/>
        <w:rPr>
          <w:rFonts w:ascii="Times New Roman" w:hAnsi="Times New Roman" w:eastAsia="宋体" w:cs="Times New Roman"/>
          <w:bCs/>
          <w:color w:val="auto"/>
          <w:kern w:val="0"/>
          <w:sz w:val="24"/>
          <w:szCs w:val="24"/>
        </w:rPr>
      </w:pPr>
      <w:r>
        <w:rPr>
          <w:rFonts w:ascii="Times New Roman" w:hAnsi="Times New Roman" w:eastAsia="宋体" w:cs="Times New Roman"/>
          <w:bCs/>
          <w:color w:val="auto"/>
          <w:kern w:val="0"/>
          <w:sz w:val="24"/>
          <w:szCs w:val="24"/>
        </w:rPr>
        <w:t xml:space="preserve">● 欠压保护 </w:t>
      </w:r>
    </w:p>
    <w:p w14:paraId="0209581E">
      <w:pPr>
        <w:widowControl/>
        <w:spacing w:line="360" w:lineRule="auto"/>
        <w:ind w:firstLine="840" w:firstLineChars="350"/>
        <w:jc w:val="left"/>
        <w:rPr>
          <w:rFonts w:ascii="Times New Roman" w:hAnsi="Times New Roman" w:eastAsia="宋体" w:cs="Times New Roman"/>
          <w:bCs/>
          <w:color w:val="auto"/>
          <w:kern w:val="0"/>
          <w:sz w:val="24"/>
          <w:szCs w:val="24"/>
        </w:rPr>
      </w:pPr>
      <w:r>
        <w:rPr>
          <w:rFonts w:ascii="Times New Roman" w:hAnsi="Times New Roman" w:eastAsia="宋体" w:cs="Times New Roman"/>
          <w:bCs/>
          <w:color w:val="auto"/>
          <w:kern w:val="0"/>
          <w:sz w:val="24"/>
          <w:szCs w:val="24"/>
        </w:rPr>
        <w:t>● 断电时自动断开</w:t>
      </w:r>
    </w:p>
    <w:p w14:paraId="2282342B">
      <w:pPr>
        <w:widowControl/>
        <w:spacing w:line="360" w:lineRule="auto"/>
        <w:ind w:firstLine="840" w:firstLineChars="350"/>
        <w:jc w:val="left"/>
        <w:rPr>
          <w:rFonts w:ascii="Times New Roman" w:hAnsi="Times New Roman" w:eastAsia="宋体" w:cs="Times New Roman"/>
          <w:bCs/>
          <w:color w:val="auto"/>
          <w:kern w:val="0"/>
          <w:sz w:val="24"/>
          <w:szCs w:val="24"/>
        </w:rPr>
      </w:pPr>
      <w:r>
        <w:rPr>
          <w:rFonts w:ascii="Times New Roman" w:hAnsi="Times New Roman" w:eastAsia="宋体" w:cs="Times New Roman"/>
          <w:bCs/>
          <w:color w:val="auto"/>
          <w:kern w:val="0"/>
          <w:sz w:val="24"/>
          <w:szCs w:val="24"/>
        </w:rPr>
        <w:t xml:space="preserve">● 过流保护 </w:t>
      </w:r>
    </w:p>
    <w:p w14:paraId="4E35C957">
      <w:pPr>
        <w:widowControl/>
        <w:spacing w:line="360" w:lineRule="auto"/>
        <w:ind w:firstLine="840" w:firstLineChars="350"/>
        <w:jc w:val="left"/>
        <w:rPr>
          <w:rFonts w:ascii="Times New Roman" w:hAnsi="Times New Roman" w:eastAsia="宋体" w:cs="Times New Roman"/>
          <w:bCs/>
          <w:color w:val="auto"/>
          <w:kern w:val="0"/>
          <w:sz w:val="24"/>
          <w:szCs w:val="24"/>
        </w:rPr>
      </w:pPr>
      <w:r>
        <w:rPr>
          <w:rFonts w:ascii="Times New Roman" w:hAnsi="Times New Roman" w:eastAsia="宋体" w:cs="Times New Roman"/>
          <w:bCs/>
          <w:color w:val="auto"/>
          <w:kern w:val="0"/>
          <w:sz w:val="24"/>
          <w:szCs w:val="24"/>
        </w:rPr>
        <w:t>● 防雷性能保护</w:t>
      </w:r>
    </w:p>
    <w:p w14:paraId="5DFFC44B">
      <w:pPr>
        <w:widowControl/>
        <w:spacing w:line="360" w:lineRule="auto"/>
        <w:ind w:firstLine="840" w:firstLineChars="350"/>
        <w:jc w:val="left"/>
        <w:rPr>
          <w:rFonts w:ascii="Times New Roman" w:hAnsi="Times New Roman" w:eastAsia="宋体" w:cs="Times New Roman"/>
          <w:bCs/>
          <w:color w:val="auto"/>
          <w:kern w:val="0"/>
          <w:sz w:val="24"/>
          <w:szCs w:val="24"/>
        </w:rPr>
      </w:pPr>
      <w:r>
        <w:rPr>
          <w:rFonts w:ascii="Times New Roman" w:hAnsi="Times New Roman" w:eastAsia="宋体" w:cs="Times New Roman"/>
          <w:bCs/>
          <w:color w:val="auto"/>
          <w:kern w:val="0"/>
          <w:sz w:val="24"/>
          <w:szCs w:val="24"/>
        </w:rPr>
        <w:t>● 短路保护</w:t>
      </w:r>
    </w:p>
    <w:p w14:paraId="4AFA4B29">
      <w:pPr>
        <w:widowControl/>
        <w:spacing w:line="360" w:lineRule="auto"/>
        <w:ind w:firstLine="840" w:firstLineChars="350"/>
        <w:jc w:val="left"/>
        <w:rPr>
          <w:rFonts w:ascii="Times New Roman" w:hAnsi="Times New Roman" w:eastAsia="宋体" w:cs="Times New Roman"/>
          <w:bCs/>
          <w:color w:val="auto"/>
          <w:kern w:val="0"/>
          <w:sz w:val="24"/>
          <w:szCs w:val="24"/>
        </w:rPr>
      </w:pPr>
      <w:r>
        <w:rPr>
          <w:rFonts w:ascii="Times New Roman" w:hAnsi="Times New Roman" w:eastAsia="宋体" w:cs="Times New Roman"/>
          <w:bCs/>
          <w:color w:val="auto"/>
          <w:kern w:val="0"/>
          <w:sz w:val="24"/>
          <w:szCs w:val="24"/>
        </w:rPr>
        <w:t>● 保护参数可调</w:t>
      </w:r>
    </w:p>
    <w:p w14:paraId="5DC15CD3">
      <w:pPr>
        <w:widowControl/>
        <w:spacing w:line="360" w:lineRule="auto"/>
        <w:ind w:firstLine="840" w:firstLineChars="350"/>
        <w:jc w:val="left"/>
        <w:rPr>
          <w:rFonts w:ascii="Times New Roman" w:hAnsi="Times New Roman" w:eastAsia="宋体" w:cs="Times New Roman"/>
          <w:bCs/>
          <w:color w:val="auto"/>
          <w:kern w:val="0"/>
          <w:sz w:val="24"/>
          <w:szCs w:val="24"/>
        </w:rPr>
      </w:pPr>
      <w:r>
        <w:rPr>
          <w:rFonts w:ascii="Times New Roman" w:hAnsi="Times New Roman" w:eastAsia="宋体" w:cs="Times New Roman"/>
          <w:bCs/>
          <w:color w:val="auto"/>
          <w:kern w:val="0"/>
          <w:sz w:val="24"/>
          <w:szCs w:val="24"/>
        </w:rPr>
        <w:t>● 4G通讯功能</w:t>
      </w:r>
    </w:p>
    <w:p w14:paraId="16A93DE1">
      <w:pPr>
        <w:widowControl/>
        <w:spacing w:line="360" w:lineRule="auto"/>
        <w:ind w:firstLine="840" w:firstLineChars="350"/>
        <w:jc w:val="left"/>
        <w:rPr>
          <w:rFonts w:ascii="Times New Roman" w:hAnsi="Times New Roman" w:eastAsia="宋体" w:cs="Times New Roman"/>
          <w:bCs/>
          <w:color w:val="auto"/>
          <w:kern w:val="0"/>
          <w:sz w:val="24"/>
          <w:szCs w:val="24"/>
        </w:rPr>
      </w:pPr>
      <w:r>
        <w:rPr>
          <w:rFonts w:ascii="Times New Roman" w:hAnsi="Times New Roman" w:eastAsia="宋体" w:cs="Times New Roman"/>
          <w:bCs/>
          <w:color w:val="auto"/>
          <w:kern w:val="0"/>
          <w:sz w:val="24"/>
          <w:szCs w:val="24"/>
        </w:rPr>
        <w:t>● 温控检测功能</w:t>
      </w:r>
    </w:p>
    <w:p w14:paraId="66D48629">
      <w:pPr>
        <w:widowControl/>
        <w:spacing w:line="360" w:lineRule="auto"/>
        <w:ind w:firstLine="840" w:firstLineChars="350"/>
        <w:jc w:val="left"/>
        <w:rPr>
          <w:rFonts w:ascii="Times New Roman" w:hAnsi="Times New Roman" w:eastAsia="宋体" w:cs="Times New Roman"/>
          <w:color w:val="auto"/>
          <w:sz w:val="24"/>
          <w:szCs w:val="24"/>
        </w:rPr>
      </w:pPr>
      <w:r>
        <w:rPr>
          <w:rFonts w:ascii="Times New Roman" w:hAnsi="Times New Roman" w:eastAsia="宋体" w:cs="Times New Roman"/>
          <w:bCs/>
          <w:color w:val="auto"/>
          <w:kern w:val="0"/>
          <w:sz w:val="24"/>
          <w:szCs w:val="24"/>
        </w:rPr>
        <w:t>● 预防浸水防触电</w:t>
      </w:r>
    </w:p>
    <w:p w14:paraId="022BAFA9">
      <w:pPr>
        <w:widowControl/>
        <w:spacing w:line="360" w:lineRule="auto"/>
        <w:jc w:val="left"/>
        <w:rPr>
          <w:rFonts w:ascii="Times New Roman" w:hAnsi="Times New Roman" w:eastAsia="宋体" w:cs="Times New Roman"/>
          <w:b/>
          <w:color w:val="auto"/>
          <w:kern w:val="0"/>
          <w:sz w:val="24"/>
          <w:szCs w:val="24"/>
        </w:rPr>
      </w:pPr>
      <w:r>
        <w:rPr>
          <w:rFonts w:hint="eastAsia" w:ascii="Times New Roman" w:hAnsi="Times New Roman" w:eastAsia="宋体" w:cs="Times New Roman"/>
          <w:b/>
          <w:color w:val="auto"/>
          <w:kern w:val="0"/>
          <w:sz w:val="24"/>
          <w:szCs w:val="24"/>
        </w:rPr>
        <w:t>（3）</w:t>
      </w:r>
      <w:r>
        <w:rPr>
          <w:rFonts w:ascii="Times New Roman" w:hAnsi="Times New Roman" w:eastAsia="宋体" w:cs="Times New Roman"/>
          <w:b/>
          <w:color w:val="auto"/>
          <w:kern w:val="0"/>
          <w:sz w:val="24"/>
          <w:szCs w:val="24"/>
        </w:rPr>
        <w:t>智能三相塑壳断路器（4G版本）</w:t>
      </w:r>
    </w:p>
    <w:p w14:paraId="24CBFEC5">
      <w:pPr>
        <w:spacing w:line="360" w:lineRule="auto"/>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塑壳壳架，电流规格更大（</w:t>
      </w:r>
      <w:r>
        <w:rPr>
          <w:rFonts w:ascii="Times New Roman" w:hAnsi="Times New Roman" w:eastAsia="宋体" w:cs="Times New Roman"/>
          <w:color w:val="auto"/>
          <w:sz w:val="24"/>
          <w:szCs w:val="24"/>
        </w:rPr>
        <w:t>125~630A），带外置4G天线，</w:t>
      </w:r>
      <w:r>
        <w:rPr>
          <w:rFonts w:hint="eastAsia" w:ascii="Times New Roman" w:hAnsi="Times New Roman" w:eastAsia="宋体" w:cs="Times New Roman"/>
          <w:color w:val="auto"/>
          <w:sz w:val="24"/>
          <w:szCs w:val="24"/>
        </w:rPr>
        <w:t>集成漏电与电</w:t>
      </w:r>
      <w:r>
        <w:rPr>
          <w:rFonts w:ascii="Times New Roman" w:hAnsi="Times New Roman" w:eastAsia="宋体" w:cs="Times New Roman"/>
          <w:color w:val="auto"/>
          <w:sz w:val="24"/>
          <w:szCs w:val="24"/>
        </w:rPr>
        <w:t>参量监测，依托4G无线传输，实现回路状态远程监控、故障主动上送，适用于医院配电室主回路、大容量三相回路改造大容量三相回路智能化改造。</w:t>
      </w:r>
    </w:p>
    <w:p w14:paraId="39060F9F">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主要功能：</w:t>
      </w:r>
    </w:p>
    <w:p w14:paraId="3892142A">
      <w:pPr>
        <w:spacing w:line="360" w:lineRule="auto"/>
        <w:ind w:firstLine="720" w:firstLineChars="3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合闸前自动检测每个功能是否正常</w:t>
      </w:r>
    </w:p>
    <w:p w14:paraId="571C5B16">
      <w:pPr>
        <w:spacing w:line="360" w:lineRule="auto"/>
        <w:ind w:firstLine="720" w:firstLineChars="3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过压保护</w:t>
      </w:r>
    </w:p>
    <w:p w14:paraId="75DF2DEF">
      <w:pPr>
        <w:spacing w:line="360" w:lineRule="auto"/>
        <w:ind w:firstLine="720" w:firstLineChars="3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欠压保护</w:t>
      </w:r>
    </w:p>
    <w:p w14:paraId="0DF22CF4">
      <w:pPr>
        <w:spacing w:line="360" w:lineRule="auto"/>
        <w:ind w:firstLine="720" w:firstLineChars="3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过流保护</w:t>
      </w:r>
    </w:p>
    <w:p w14:paraId="40B381D6">
      <w:pPr>
        <w:spacing w:line="360" w:lineRule="auto"/>
        <w:ind w:firstLine="720" w:firstLineChars="3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短路保护</w:t>
      </w:r>
    </w:p>
    <w:p w14:paraId="01894718">
      <w:pPr>
        <w:spacing w:line="360" w:lineRule="auto"/>
        <w:ind w:firstLine="720" w:firstLineChars="3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智能漏电识别保护</w:t>
      </w:r>
    </w:p>
    <w:p w14:paraId="0A791B65">
      <w:pPr>
        <w:spacing w:line="360" w:lineRule="auto"/>
        <w:ind w:firstLine="720" w:firstLineChars="3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零线断开保护</w:t>
      </w:r>
    </w:p>
    <w:p w14:paraId="631CA398">
      <w:pPr>
        <w:spacing w:line="360" w:lineRule="auto"/>
        <w:ind w:firstLine="720" w:firstLineChars="3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断电时自动断开</w:t>
      </w:r>
    </w:p>
    <w:p w14:paraId="5CBCE282">
      <w:pPr>
        <w:spacing w:line="360" w:lineRule="auto"/>
        <w:ind w:firstLine="720" w:firstLineChars="3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防雷性能保护</w:t>
      </w:r>
    </w:p>
    <w:p w14:paraId="09D4C71E">
      <w:pPr>
        <w:spacing w:line="360" w:lineRule="auto"/>
        <w:ind w:firstLine="720" w:firstLineChars="3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保护参数可调</w:t>
      </w:r>
    </w:p>
    <w:p w14:paraId="3EE821A5">
      <w:pPr>
        <w:spacing w:before="120" w:after="120" w:line="360" w:lineRule="auto"/>
        <w:jc w:val="left"/>
        <w:outlineLvl w:val="2"/>
        <w:rPr>
          <w:rFonts w:ascii="宋体" w:hAnsi="宋体" w:eastAsia="宋体"/>
          <w:b/>
          <w:bCs/>
          <w:color w:val="auto"/>
          <w:sz w:val="24"/>
          <w:szCs w:val="24"/>
        </w:rPr>
      </w:pPr>
      <w:bookmarkStart w:id="59" w:name="_Toc244176123"/>
      <w:bookmarkStart w:id="60" w:name="_Toc244176392"/>
      <w:r>
        <w:rPr>
          <w:rFonts w:hint="eastAsia" w:ascii="宋体" w:hAnsi="宋体" w:eastAsia="宋体"/>
          <w:b/>
          <w:bCs/>
          <w:color w:val="auto"/>
          <w:sz w:val="24"/>
          <w:szCs w:val="24"/>
        </w:rPr>
        <w:t>4</w:t>
      </w:r>
      <w:r>
        <w:rPr>
          <w:rFonts w:ascii="宋体" w:hAnsi="宋体" w:eastAsia="宋体"/>
          <w:b/>
          <w:bCs/>
          <w:color w:val="auto"/>
          <w:sz w:val="24"/>
          <w:szCs w:val="24"/>
        </w:rPr>
        <w:t xml:space="preserve">.1.2 </w:t>
      </w:r>
      <w:r>
        <w:rPr>
          <w:rFonts w:hint="eastAsia" w:ascii="宋体" w:hAnsi="宋体" w:eastAsia="宋体"/>
          <w:b/>
          <w:bCs/>
          <w:color w:val="auto"/>
          <w:sz w:val="24"/>
          <w:szCs w:val="24"/>
        </w:rPr>
        <w:t>低压抽屉</w:t>
      </w:r>
      <w:r>
        <w:rPr>
          <w:rFonts w:ascii="宋体" w:hAnsi="宋体" w:eastAsia="宋体"/>
          <w:b/>
          <w:bCs/>
          <w:color w:val="auto"/>
          <w:sz w:val="24"/>
          <w:szCs w:val="24"/>
        </w:rPr>
        <w:t>柜</w:t>
      </w:r>
      <w:r>
        <w:rPr>
          <w:rFonts w:hint="eastAsia" w:ascii="宋体" w:hAnsi="宋体" w:eastAsia="宋体"/>
          <w:b/>
          <w:bCs/>
          <w:color w:val="auto"/>
          <w:sz w:val="24"/>
          <w:szCs w:val="24"/>
        </w:rPr>
        <w:t>智能</w:t>
      </w:r>
      <w:r>
        <w:rPr>
          <w:rFonts w:ascii="宋体" w:hAnsi="宋体" w:eastAsia="宋体"/>
          <w:b/>
          <w:bCs/>
          <w:color w:val="auto"/>
          <w:sz w:val="24"/>
          <w:szCs w:val="24"/>
        </w:rPr>
        <w:t>监测</w:t>
      </w:r>
      <w:r>
        <w:rPr>
          <w:rFonts w:hint="eastAsia" w:ascii="宋体" w:hAnsi="宋体" w:eastAsia="宋体"/>
          <w:b/>
          <w:bCs/>
          <w:color w:val="auto"/>
          <w:sz w:val="24"/>
          <w:szCs w:val="24"/>
        </w:rPr>
        <w:t>仪表</w:t>
      </w:r>
      <w:bookmarkEnd w:id="59"/>
      <w:bookmarkEnd w:id="60"/>
    </w:p>
    <w:p w14:paraId="5C890CD3">
      <w:pPr>
        <w:spacing w:line="360" w:lineRule="auto"/>
        <w:ind w:firstLine="480" w:firstLineChars="200"/>
        <w:rPr>
          <w:rFonts w:ascii="Times New Roman" w:hAnsi="Times New Roman" w:eastAsia="宋体" w:cs="Times New Roman"/>
          <w:color w:val="auto"/>
          <w:sz w:val="24"/>
          <w:szCs w:val="24"/>
        </w:rPr>
      </w:pPr>
      <w:r>
        <w:rPr>
          <w:rFonts w:hint="eastAsia" w:ascii="宋体" w:hAnsi="宋体" w:eastAsia="宋体"/>
          <w:color w:val="auto"/>
          <w:sz w:val="24"/>
          <w:szCs w:val="24"/>
          <w:lang w:val="en-US" w:eastAsia="zh-CN"/>
        </w:rPr>
        <w:t>本次招标的</w:t>
      </w:r>
      <w:r>
        <w:rPr>
          <w:rFonts w:hint="eastAsia" w:ascii="宋体" w:hAnsi="宋体" w:eastAsia="宋体"/>
          <w:color w:val="auto"/>
          <w:sz w:val="24"/>
          <w:szCs w:val="24"/>
        </w:rPr>
        <w:t>系统</w:t>
      </w:r>
      <w:r>
        <w:rPr>
          <w:rFonts w:hint="eastAsia" w:ascii="Times New Roman" w:hAnsi="Times New Roman" w:eastAsia="宋体" w:cs="Times New Roman"/>
          <w:color w:val="auto"/>
          <w:sz w:val="24"/>
          <w:szCs w:val="24"/>
        </w:rPr>
        <w:t>低压抽屉柜改造选用多功能智能测控仪表，将原有低压开关柜指针式单相电流表、电压表替换为多功能智能测控仪表，仪表通过 RS485 总线接入通讯管理机，实现电压、电流、功率因数等电气量遥测数据上传配电自动化主站，满足</w:t>
      </w:r>
      <w:r>
        <w:rPr>
          <w:rFonts w:ascii="Times New Roman" w:hAnsi="Times New Roman" w:eastAsia="宋体" w:cs="Times New Roman"/>
          <w:color w:val="auto"/>
          <w:sz w:val="24"/>
          <w:szCs w:val="24"/>
        </w:rPr>
        <w:t>智能用电运维管理系统</w:t>
      </w:r>
      <w:r>
        <w:rPr>
          <w:rFonts w:hint="eastAsia" w:ascii="Times New Roman" w:hAnsi="Times New Roman" w:eastAsia="宋体" w:cs="Times New Roman"/>
          <w:color w:val="auto"/>
          <w:sz w:val="24"/>
          <w:szCs w:val="24"/>
        </w:rPr>
        <w:t>采集要求。</w:t>
      </w:r>
    </w:p>
    <w:p w14:paraId="447B028C">
      <w:pPr>
        <w:spacing w:line="360" w:lineRule="auto"/>
        <w:rPr>
          <w:rFonts w:hint="eastAsia"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rPr>
        <w:t>1、应用环境条件</w:t>
      </w:r>
    </w:p>
    <w:p w14:paraId="0E939F3B">
      <w:pPr>
        <w:spacing w:line="360" w:lineRule="auto"/>
        <w:ind w:firstLine="480" w:firstLineChars="20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环境温度：-10℃～+55℃</w:t>
      </w:r>
    </w:p>
    <w:p w14:paraId="5050443E">
      <w:pPr>
        <w:spacing w:line="360" w:lineRule="auto"/>
        <w:ind w:firstLine="480" w:firstLineChars="20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相对湿度：5%～95%，无凝露</w:t>
      </w:r>
    </w:p>
    <w:p w14:paraId="3256E600">
      <w:pPr>
        <w:spacing w:line="360" w:lineRule="auto"/>
        <w:ind w:firstLine="480" w:firstLineChars="20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安装地点：组屏安装</w:t>
      </w:r>
    </w:p>
    <w:p w14:paraId="4AC261EB">
      <w:pPr>
        <w:spacing w:line="360" w:lineRule="auto"/>
        <w:ind w:firstLine="480" w:firstLineChars="20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工作电源：AC220V（可兼容交直流供电）</w:t>
      </w:r>
    </w:p>
    <w:p w14:paraId="6FDCABE7">
      <w:pPr>
        <w:spacing w:line="360" w:lineRule="auto"/>
        <w:ind w:firstLine="480" w:firstLineChars="20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振动：满足开关柜正常运行振动要求</w:t>
      </w:r>
    </w:p>
    <w:p w14:paraId="5587ED12">
      <w:pPr>
        <w:spacing w:line="360" w:lineRule="auto"/>
        <w:rPr>
          <w:rFonts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rPr>
        <w:t>2、</w:t>
      </w:r>
      <w:r>
        <w:rPr>
          <w:rFonts w:ascii="Times New Roman" w:hAnsi="Times New Roman" w:eastAsia="宋体" w:cs="Times New Roman"/>
          <w:b/>
          <w:bCs/>
          <w:color w:val="auto"/>
          <w:sz w:val="24"/>
          <w:szCs w:val="24"/>
        </w:rPr>
        <w:t>功能要求</w:t>
      </w:r>
    </w:p>
    <w:p w14:paraId="5A9EA8C9">
      <w:pPr>
        <w:spacing w:line="360" w:lineRule="auto"/>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w:t>
      </w:r>
      <w:r>
        <w:rPr>
          <w:rFonts w:ascii="Times New Roman" w:hAnsi="Times New Roman" w:eastAsia="宋体" w:cs="Times New Roman"/>
          <w:color w:val="auto"/>
          <w:sz w:val="24"/>
          <w:szCs w:val="24"/>
        </w:rPr>
        <w:t>基本测量与显示功能 仪表为三相多功能测控仪表，采用高性能微处理器及数字信号处理技术，具备三相电压、三相电流、有功功率、无功功率、视在功率、功率因数、频率等电气参数测量及就地显示功能，可直接替代常规指针式测量仪表、电力变送器等装置。</w:t>
      </w:r>
    </w:p>
    <w:p w14:paraId="13BE1611">
      <w:pPr>
        <w:spacing w:line="360" w:lineRule="auto"/>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w:t>
      </w:r>
      <w:r>
        <w:rPr>
          <w:rFonts w:ascii="Times New Roman" w:hAnsi="Times New Roman" w:eastAsia="宋体" w:cs="Times New Roman"/>
          <w:color w:val="auto"/>
          <w:sz w:val="24"/>
          <w:szCs w:val="24"/>
        </w:rPr>
        <w:t>电能计量功能</w:t>
      </w:r>
    </w:p>
    <w:p w14:paraId="7E6144FE">
      <w:pPr>
        <w:pStyle w:val="56"/>
        <w:numPr>
          <w:ilvl w:val="0"/>
          <w:numId w:val="5"/>
        </w:numPr>
        <w:spacing w:line="360" w:lineRule="auto"/>
        <w:ind w:firstLineChars="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支持双向四象限有功电能、无功电能累计；</w:t>
      </w:r>
    </w:p>
    <w:p w14:paraId="74A0B4AA">
      <w:pPr>
        <w:pStyle w:val="56"/>
        <w:numPr>
          <w:ilvl w:val="0"/>
          <w:numId w:val="5"/>
        </w:numPr>
        <w:spacing w:line="360" w:lineRule="auto"/>
        <w:ind w:firstLineChars="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具备尖、峰、谷、平分时电能计量功能；</w:t>
      </w:r>
    </w:p>
    <w:p w14:paraId="543FC947">
      <w:pPr>
        <w:pStyle w:val="56"/>
        <w:numPr>
          <w:ilvl w:val="0"/>
          <w:numId w:val="5"/>
        </w:numPr>
        <w:spacing w:line="360" w:lineRule="auto"/>
        <w:ind w:firstLineChars="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内置最大值、最小值记录、需量测量功能；</w:t>
      </w:r>
    </w:p>
    <w:p w14:paraId="2E199BCF">
      <w:pPr>
        <w:pStyle w:val="56"/>
        <w:numPr>
          <w:ilvl w:val="0"/>
          <w:numId w:val="5"/>
        </w:numPr>
        <w:spacing w:line="360" w:lineRule="auto"/>
        <w:ind w:firstLineChars="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配合上位监控软件，可实现能耗统计、负荷趋势分析、自动抄表、电量报表生成，可提供关口级计量数据。</w:t>
      </w:r>
    </w:p>
    <w:p w14:paraId="277B2712">
      <w:pPr>
        <w:spacing w:line="360" w:lineRule="auto"/>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w:t>
      </w:r>
      <w:r>
        <w:rPr>
          <w:rFonts w:ascii="Times New Roman" w:hAnsi="Times New Roman" w:eastAsia="宋体" w:cs="Times New Roman"/>
          <w:color w:val="auto"/>
          <w:sz w:val="24"/>
          <w:szCs w:val="24"/>
        </w:rPr>
        <w:t>开关量输入输出（I/O）及告警功能 配置灵活丰富的 DI/DO 接口，支持遥信采集、遥控输出；具备故障告警功能，可满足分布式 RTU 使用需求。</w:t>
      </w:r>
    </w:p>
    <w:p w14:paraId="3A96B355">
      <w:pPr>
        <w:spacing w:line="360" w:lineRule="auto"/>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w:t>
      </w:r>
      <w:r>
        <w:rPr>
          <w:rFonts w:ascii="Times New Roman" w:hAnsi="Times New Roman" w:eastAsia="宋体" w:cs="Times New Roman"/>
          <w:color w:val="auto"/>
          <w:sz w:val="24"/>
          <w:szCs w:val="24"/>
        </w:rPr>
        <w:t>通信及远动功能（核心）</w:t>
      </w:r>
    </w:p>
    <w:p w14:paraId="426A9CE5">
      <w:pPr>
        <w:pStyle w:val="56"/>
        <w:numPr>
          <w:ilvl w:val="0"/>
          <w:numId w:val="6"/>
        </w:numPr>
        <w:spacing w:line="360" w:lineRule="auto"/>
        <w:ind w:firstLineChars="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配置工业标准 RS485 通信接口，支持标准 Modbus-RTU 协议；</w:t>
      </w:r>
    </w:p>
    <w:p w14:paraId="0F11CEF1">
      <w:pPr>
        <w:pStyle w:val="56"/>
        <w:numPr>
          <w:ilvl w:val="0"/>
          <w:numId w:val="6"/>
        </w:numPr>
        <w:spacing w:line="360" w:lineRule="auto"/>
        <w:ind w:firstLineChars="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支持通过 RS485 总线组网接入通讯管理机，遥测数据上传至配电自动化主站；</w:t>
      </w:r>
    </w:p>
    <w:p w14:paraId="393CAD8C">
      <w:pPr>
        <w:pStyle w:val="56"/>
        <w:numPr>
          <w:ilvl w:val="0"/>
          <w:numId w:val="6"/>
        </w:numPr>
        <w:spacing w:line="360" w:lineRule="auto"/>
        <w:ind w:firstLineChars="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完整具备</w:t>
      </w:r>
      <w:r>
        <w:rPr>
          <w:rFonts w:ascii="Times New Roman" w:hAnsi="Times New Roman" w:eastAsia="宋体" w:cs="Times New Roman"/>
          <w:b/>
          <w:bCs/>
          <w:color w:val="auto"/>
          <w:sz w:val="24"/>
          <w:szCs w:val="24"/>
        </w:rPr>
        <w:t>遥信、遥测、遥控、遥设（四遥）</w:t>
      </w:r>
      <w:r>
        <w:rPr>
          <w:rFonts w:ascii="Times New Roman" w:hAnsi="Times New Roman" w:eastAsia="宋体" w:cs="Times New Roman"/>
          <w:color w:val="auto"/>
          <w:sz w:val="24"/>
          <w:szCs w:val="24"/>
        </w:rPr>
        <w:t>功能，适配 SCADA 电力监控系统；</w:t>
      </w:r>
    </w:p>
    <w:p w14:paraId="67DA9DF6">
      <w:pPr>
        <w:pStyle w:val="56"/>
        <w:numPr>
          <w:ilvl w:val="0"/>
          <w:numId w:val="6"/>
        </w:numPr>
        <w:spacing w:line="360" w:lineRule="auto"/>
        <w:ind w:firstLineChars="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总线组网可靠性高，抗干扰能力强，适应柜内现场工况。</w:t>
      </w:r>
    </w:p>
    <w:p w14:paraId="48EAD8DB">
      <w:pPr>
        <w:spacing w:line="360" w:lineRule="auto"/>
        <w:rPr>
          <w:rFonts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rPr>
        <w:t>3、</w:t>
      </w:r>
      <w:r>
        <w:rPr>
          <w:rFonts w:ascii="Times New Roman" w:hAnsi="Times New Roman" w:eastAsia="宋体" w:cs="Times New Roman"/>
          <w:b/>
          <w:bCs/>
          <w:color w:val="auto"/>
          <w:sz w:val="24"/>
          <w:szCs w:val="24"/>
        </w:rPr>
        <w:t>主要技术性能指标</w:t>
      </w:r>
    </w:p>
    <w:p w14:paraId="748E3860">
      <w:pPr>
        <w:pStyle w:val="56"/>
        <w:numPr>
          <w:ilvl w:val="0"/>
          <w:numId w:val="7"/>
        </w:numPr>
        <w:spacing w:line="360" w:lineRule="auto"/>
        <w:ind w:firstLineChars="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有功电能计量准确度等级：IEC 60687 0.5S 级；</w:t>
      </w:r>
    </w:p>
    <w:p w14:paraId="0F15AD85">
      <w:pPr>
        <w:pStyle w:val="56"/>
        <w:numPr>
          <w:ilvl w:val="0"/>
          <w:numId w:val="7"/>
        </w:numPr>
        <w:spacing w:line="360" w:lineRule="auto"/>
        <w:ind w:firstLineChars="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测量对象：三相交流电压、电流、功率、功率因数、频率；</w:t>
      </w:r>
    </w:p>
    <w:p w14:paraId="4DAE777F">
      <w:pPr>
        <w:pStyle w:val="56"/>
        <w:numPr>
          <w:ilvl w:val="0"/>
          <w:numId w:val="7"/>
        </w:numPr>
        <w:spacing w:line="360" w:lineRule="auto"/>
        <w:ind w:firstLineChars="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计量：双向四象限有功、无功电能，支持分时复费率计量；</w:t>
      </w:r>
    </w:p>
    <w:p w14:paraId="392B151C">
      <w:pPr>
        <w:pStyle w:val="56"/>
        <w:numPr>
          <w:ilvl w:val="0"/>
          <w:numId w:val="7"/>
        </w:numPr>
        <w:spacing w:line="360" w:lineRule="auto"/>
        <w:ind w:firstLineChars="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记录功能：最大 / 最小值存储、需量统计；</w:t>
      </w:r>
    </w:p>
    <w:p w14:paraId="44D5A212">
      <w:pPr>
        <w:pStyle w:val="56"/>
        <w:numPr>
          <w:ilvl w:val="0"/>
          <w:numId w:val="7"/>
        </w:numPr>
        <w:spacing w:line="360" w:lineRule="auto"/>
        <w:ind w:firstLineChars="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通信接口：RS485，Modbus-RTU，波特率、地址可本地或远程设置；</w:t>
      </w:r>
    </w:p>
    <w:p w14:paraId="52B770A4">
      <w:pPr>
        <w:pStyle w:val="56"/>
        <w:numPr>
          <w:ilvl w:val="0"/>
          <w:numId w:val="7"/>
        </w:numPr>
        <w:spacing w:line="360" w:lineRule="auto"/>
        <w:ind w:firstLineChars="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I/O：自带开关量输入、输出通道；</w:t>
      </w:r>
    </w:p>
    <w:p w14:paraId="62693731">
      <w:pPr>
        <w:pStyle w:val="56"/>
        <w:numPr>
          <w:ilvl w:val="0"/>
          <w:numId w:val="7"/>
        </w:numPr>
        <w:spacing w:line="360" w:lineRule="auto"/>
        <w:ind w:firstLineChars="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功能集成：电量测量显示、电能累计、电能质量分析、故障告警、DI/DO、通信一体化。</w:t>
      </w:r>
    </w:p>
    <w:p w14:paraId="7977370D">
      <w:pPr>
        <w:spacing w:line="360" w:lineRule="auto"/>
        <w:rPr>
          <w:rFonts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rPr>
        <w:t>4、</w:t>
      </w:r>
      <w:r>
        <w:rPr>
          <w:rFonts w:ascii="Times New Roman" w:hAnsi="Times New Roman" w:eastAsia="宋体" w:cs="Times New Roman"/>
          <w:b/>
          <w:bCs/>
          <w:color w:val="auto"/>
          <w:sz w:val="24"/>
          <w:szCs w:val="24"/>
        </w:rPr>
        <w:t>结构与外观要求</w:t>
      </w:r>
    </w:p>
    <w:p w14:paraId="6D87EF45">
      <w:pPr>
        <w:pStyle w:val="56"/>
        <w:numPr>
          <w:ilvl w:val="0"/>
          <w:numId w:val="8"/>
        </w:numPr>
        <w:spacing w:line="360" w:lineRule="auto"/>
        <w:ind w:firstLineChars="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面板嵌入式安装，适配低压抽屉柜仪表开孔</w:t>
      </w:r>
      <w:r>
        <w:rPr>
          <w:rFonts w:hint="eastAsia" w:ascii="Times New Roman" w:hAnsi="Times New Roman" w:eastAsia="宋体" w:cs="Times New Roman"/>
          <w:color w:val="auto"/>
          <w:sz w:val="24"/>
          <w:szCs w:val="24"/>
        </w:rPr>
        <w:t>，或满足组屏安装方式</w:t>
      </w:r>
      <w:r>
        <w:rPr>
          <w:rFonts w:ascii="Times New Roman" w:hAnsi="Times New Roman" w:eastAsia="宋体" w:cs="Times New Roman"/>
          <w:color w:val="auto"/>
          <w:sz w:val="24"/>
          <w:szCs w:val="24"/>
        </w:rPr>
        <w:t>；</w:t>
      </w:r>
    </w:p>
    <w:p w14:paraId="12F32C85">
      <w:pPr>
        <w:pStyle w:val="56"/>
        <w:numPr>
          <w:ilvl w:val="0"/>
          <w:numId w:val="8"/>
        </w:numPr>
        <w:spacing w:line="360" w:lineRule="auto"/>
        <w:ind w:firstLineChars="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外壳采用阻燃材料，结构牢固，适合柜内长期运行；</w:t>
      </w:r>
    </w:p>
    <w:p w14:paraId="15FFA6F0">
      <w:pPr>
        <w:pStyle w:val="56"/>
        <w:numPr>
          <w:ilvl w:val="0"/>
          <w:numId w:val="8"/>
        </w:numPr>
        <w:spacing w:line="360" w:lineRule="auto"/>
        <w:ind w:firstLineChars="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面板参数显示清晰，参数可循环切换查看；</w:t>
      </w:r>
    </w:p>
    <w:p w14:paraId="0BB3F6A5">
      <w:pPr>
        <w:pStyle w:val="56"/>
        <w:numPr>
          <w:ilvl w:val="0"/>
          <w:numId w:val="8"/>
        </w:numPr>
        <w:spacing w:line="360" w:lineRule="auto"/>
        <w:ind w:firstLineChars="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端子标识清晰、耐久，不易磨损脱落。</w:t>
      </w:r>
    </w:p>
    <w:p w14:paraId="4FEB1C7F">
      <w:pPr>
        <w:spacing w:before="120" w:after="120" w:line="360" w:lineRule="auto"/>
        <w:jc w:val="left"/>
        <w:outlineLvl w:val="2"/>
        <w:rPr>
          <w:rFonts w:ascii="宋体" w:hAnsi="宋体" w:eastAsia="宋体"/>
          <w:b/>
          <w:bCs/>
          <w:color w:val="auto"/>
          <w:sz w:val="24"/>
          <w:szCs w:val="24"/>
        </w:rPr>
      </w:pPr>
      <w:bookmarkStart w:id="61" w:name="_Toc244176393"/>
      <w:bookmarkStart w:id="62" w:name="_Toc244176124"/>
      <w:r>
        <w:rPr>
          <w:rFonts w:hint="eastAsia" w:ascii="宋体" w:hAnsi="宋体" w:eastAsia="宋体"/>
          <w:b/>
          <w:bCs/>
          <w:color w:val="auto"/>
          <w:sz w:val="24"/>
          <w:szCs w:val="24"/>
        </w:rPr>
        <w:t>4.</w:t>
      </w:r>
      <w:r>
        <w:rPr>
          <w:rFonts w:ascii="宋体" w:hAnsi="宋体" w:eastAsia="宋体"/>
          <w:b/>
          <w:bCs/>
          <w:color w:val="auto"/>
          <w:sz w:val="24"/>
          <w:szCs w:val="24"/>
        </w:rPr>
        <w:t>1</w:t>
      </w:r>
      <w:r>
        <w:rPr>
          <w:rFonts w:hint="eastAsia" w:ascii="宋体" w:hAnsi="宋体" w:eastAsia="宋体"/>
          <w:b/>
          <w:bCs/>
          <w:color w:val="auto"/>
          <w:sz w:val="24"/>
          <w:szCs w:val="24"/>
        </w:rPr>
        <w:t>.</w:t>
      </w:r>
      <w:r>
        <w:rPr>
          <w:rFonts w:ascii="宋体" w:hAnsi="宋体" w:eastAsia="宋体"/>
          <w:b/>
          <w:bCs/>
          <w:color w:val="auto"/>
          <w:sz w:val="24"/>
          <w:szCs w:val="24"/>
        </w:rPr>
        <w:t>3</w:t>
      </w:r>
      <w:r>
        <w:rPr>
          <w:rFonts w:hint="eastAsia" w:ascii="宋体" w:hAnsi="宋体" w:eastAsia="宋体"/>
          <w:b/>
          <w:bCs/>
          <w:color w:val="auto"/>
          <w:sz w:val="24"/>
          <w:szCs w:val="24"/>
        </w:rPr>
        <w:t xml:space="preserve"> 高压开关柜智能</w:t>
      </w:r>
      <w:r>
        <w:rPr>
          <w:rFonts w:ascii="宋体" w:hAnsi="宋体" w:eastAsia="宋体"/>
          <w:b/>
          <w:bCs/>
          <w:color w:val="auto"/>
          <w:sz w:val="24"/>
          <w:szCs w:val="24"/>
        </w:rPr>
        <w:t>监测</w:t>
      </w:r>
      <w:r>
        <w:rPr>
          <w:rFonts w:hint="eastAsia" w:ascii="宋体" w:hAnsi="宋体" w:eastAsia="宋体"/>
          <w:b/>
          <w:bCs/>
          <w:color w:val="auto"/>
          <w:sz w:val="24"/>
          <w:szCs w:val="24"/>
        </w:rPr>
        <w:t>装置</w:t>
      </w:r>
      <w:bookmarkEnd w:id="61"/>
      <w:bookmarkEnd w:id="62"/>
    </w:p>
    <w:p w14:paraId="17B5F575">
      <w:pPr>
        <w:spacing w:line="360" w:lineRule="auto"/>
        <w:ind w:firstLine="480" w:firstLineChars="200"/>
        <w:rPr>
          <w:rFonts w:hint="eastAsia" w:ascii="Times New Roman" w:hAnsi="Times New Roman" w:eastAsia="宋体" w:cs="Times New Roman"/>
          <w:color w:val="auto"/>
          <w:sz w:val="24"/>
          <w:szCs w:val="24"/>
        </w:rPr>
      </w:pPr>
      <w:r>
        <w:rPr>
          <w:rFonts w:hint="eastAsia" w:ascii="宋体" w:hAnsi="宋体" w:eastAsia="宋体"/>
          <w:color w:val="auto"/>
          <w:sz w:val="24"/>
          <w:szCs w:val="24"/>
          <w:lang w:val="en-US" w:eastAsia="zh-CN"/>
        </w:rPr>
        <w:t>本次招标的</w:t>
      </w:r>
      <w:r>
        <w:rPr>
          <w:rFonts w:hint="eastAsia" w:ascii="宋体" w:hAnsi="宋体" w:eastAsia="宋体"/>
          <w:color w:val="auto"/>
          <w:sz w:val="24"/>
          <w:szCs w:val="24"/>
        </w:rPr>
        <w:t>系统</w:t>
      </w:r>
      <w:r>
        <w:rPr>
          <w:rFonts w:hint="eastAsia" w:ascii="宋体" w:hAnsi="宋体" w:eastAsia="宋体"/>
          <w:color w:val="auto"/>
          <w:sz w:val="24"/>
          <w:szCs w:val="24"/>
          <w:lang w:val="en-US" w:eastAsia="zh-CN"/>
        </w:rPr>
        <w:t>中</w:t>
      </w:r>
      <w:r>
        <w:rPr>
          <w:rFonts w:hint="eastAsia" w:ascii="Times New Roman" w:hAnsi="Times New Roman" w:eastAsia="宋体" w:cs="Times New Roman"/>
          <w:color w:val="auto"/>
          <w:sz w:val="24"/>
          <w:szCs w:val="24"/>
        </w:rPr>
        <w:t>10kV高压出线柜</w:t>
      </w:r>
      <w:r>
        <w:rPr>
          <w:rFonts w:ascii="Times New Roman" w:hAnsi="Times New Roman" w:eastAsia="宋体" w:cs="Times New Roman"/>
          <w:color w:val="auto"/>
          <w:sz w:val="24"/>
          <w:szCs w:val="24"/>
        </w:rPr>
        <w:t>保护装置</w:t>
      </w:r>
      <w:r>
        <w:rPr>
          <w:rFonts w:hint="eastAsia" w:ascii="Times New Roman" w:hAnsi="Times New Roman" w:eastAsia="宋体" w:cs="Times New Roman"/>
          <w:color w:val="auto"/>
          <w:sz w:val="24"/>
          <w:szCs w:val="24"/>
        </w:rPr>
        <w:t>运行年限</w:t>
      </w:r>
      <w:r>
        <w:rPr>
          <w:rFonts w:ascii="Times New Roman" w:hAnsi="Times New Roman" w:eastAsia="宋体" w:cs="Times New Roman"/>
          <w:color w:val="auto"/>
          <w:sz w:val="24"/>
          <w:szCs w:val="24"/>
        </w:rPr>
        <w:t>久</w:t>
      </w:r>
      <w:r>
        <w:rPr>
          <w:rFonts w:hint="eastAsia" w:ascii="Times New Roman" w:hAnsi="Times New Roman" w:eastAsia="宋体" w:cs="Times New Roman"/>
          <w:color w:val="auto"/>
          <w:sz w:val="24"/>
          <w:szCs w:val="24"/>
        </w:rPr>
        <w:t>，且</w:t>
      </w:r>
      <w:r>
        <w:rPr>
          <w:rFonts w:ascii="Times New Roman" w:hAnsi="Times New Roman" w:eastAsia="宋体" w:cs="Times New Roman"/>
          <w:color w:val="auto"/>
          <w:sz w:val="24"/>
          <w:szCs w:val="24"/>
        </w:rPr>
        <w:t>不具备保护</w:t>
      </w:r>
      <w:r>
        <w:rPr>
          <w:rFonts w:hint="eastAsia" w:ascii="Times New Roman" w:hAnsi="Times New Roman" w:eastAsia="宋体" w:cs="Times New Roman"/>
          <w:color w:val="auto"/>
          <w:sz w:val="24"/>
          <w:szCs w:val="24"/>
        </w:rPr>
        <w:t>动作</w:t>
      </w:r>
      <w:r>
        <w:rPr>
          <w:rFonts w:ascii="Times New Roman" w:hAnsi="Times New Roman" w:eastAsia="宋体" w:cs="Times New Roman"/>
          <w:color w:val="auto"/>
          <w:sz w:val="24"/>
          <w:szCs w:val="24"/>
        </w:rPr>
        <w:t>信号</w:t>
      </w:r>
      <w:r>
        <w:rPr>
          <w:rFonts w:hint="eastAsia" w:ascii="Times New Roman" w:hAnsi="Times New Roman" w:eastAsia="宋体" w:cs="Times New Roman"/>
          <w:color w:val="auto"/>
          <w:sz w:val="24"/>
          <w:szCs w:val="24"/>
        </w:rPr>
        <w:t>上</w:t>
      </w:r>
      <w:r>
        <w:rPr>
          <w:rFonts w:ascii="Times New Roman" w:hAnsi="Times New Roman" w:eastAsia="宋体" w:cs="Times New Roman"/>
          <w:color w:val="auto"/>
          <w:sz w:val="24"/>
          <w:szCs w:val="24"/>
        </w:rPr>
        <w:t>传</w:t>
      </w:r>
      <w:r>
        <w:rPr>
          <w:rFonts w:hint="eastAsia" w:ascii="Times New Roman" w:hAnsi="Times New Roman" w:eastAsia="宋体" w:cs="Times New Roman"/>
          <w:color w:val="auto"/>
          <w:sz w:val="24"/>
          <w:szCs w:val="24"/>
        </w:rPr>
        <w:t>到</w:t>
      </w:r>
      <w:r>
        <w:rPr>
          <w:rFonts w:ascii="Times New Roman" w:hAnsi="Times New Roman" w:eastAsia="宋体" w:cs="Times New Roman"/>
          <w:color w:val="auto"/>
          <w:sz w:val="24"/>
          <w:szCs w:val="24"/>
        </w:rPr>
        <w:t>电力监控</w:t>
      </w:r>
      <w:r>
        <w:rPr>
          <w:rFonts w:hint="eastAsia" w:ascii="Times New Roman" w:hAnsi="Times New Roman" w:eastAsia="宋体" w:cs="Times New Roman"/>
          <w:color w:val="auto"/>
          <w:sz w:val="24"/>
          <w:szCs w:val="24"/>
        </w:rPr>
        <w:t>后台</w:t>
      </w:r>
      <w:r>
        <w:rPr>
          <w:rFonts w:ascii="Times New Roman" w:hAnsi="Times New Roman" w:eastAsia="宋体" w:cs="Times New Roman"/>
          <w:color w:val="auto"/>
          <w:sz w:val="24"/>
          <w:szCs w:val="24"/>
        </w:rPr>
        <w:t>的通信功能</w:t>
      </w:r>
      <w:r>
        <w:rPr>
          <w:rFonts w:hint="eastAsia" w:ascii="Times New Roman" w:hAnsi="Times New Roman" w:eastAsia="宋体" w:cs="Times New Roman"/>
          <w:color w:val="auto"/>
          <w:sz w:val="24"/>
          <w:szCs w:val="24"/>
        </w:rPr>
        <w:t>。本次改造对该保护装置进行更换，新更换的装置技术要求如下：</w:t>
      </w:r>
    </w:p>
    <w:p w14:paraId="015C30B2">
      <w:pPr>
        <w:spacing w:line="360" w:lineRule="auto"/>
        <w:ind w:firstLine="480"/>
        <w:jc w:val="lef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数字化保护测控装置是针对110kV及以下电压等级</w:t>
      </w:r>
      <w:r>
        <w:rPr>
          <w:rFonts w:hint="eastAsia" w:ascii="Times New Roman" w:hAnsi="Times New Roman" w:eastAsia="宋体" w:cs="Times New Roman"/>
          <w:color w:val="auto"/>
          <w:sz w:val="24"/>
          <w:szCs w:val="24"/>
        </w:rPr>
        <w:t>开关柜</w:t>
      </w:r>
      <w:r>
        <w:rPr>
          <w:rFonts w:ascii="Times New Roman" w:hAnsi="Times New Roman" w:eastAsia="宋体" w:cs="Times New Roman"/>
          <w:color w:val="auto"/>
          <w:sz w:val="24"/>
          <w:szCs w:val="24"/>
        </w:rPr>
        <w:t>推出的</w:t>
      </w:r>
      <w:r>
        <w:rPr>
          <w:rFonts w:hint="eastAsia" w:ascii="Times New Roman" w:hAnsi="Times New Roman" w:eastAsia="宋体" w:cs="Times New Roman"/>
          <w:color w:val="auto"/>
          <w:sz w:val="24"/>
          <w:szCs w:val="24"/>
        </w:rPr>
        <w:t>智能</w:t>
      </w:r>
      <w:r>
        <w:rPr>
          <w:rFonts w:ascii="Times New Roman" w:hAnsi="Times New Roman" w:eastAsia="宋体" w:cs="Times New Roman"/>
          <w:color w:val="auto"/>
          <w:sz w:val="24"/>
          <w:szCs w:val="24"/>
        </w:rPr>
        <w:t>控保装置。既适用于电力系统对保护和测控功能的要求，也适用于</w:t>
      </w:r>
      <w:r>
        <w:rPr>
          <w:rFonts w:hint="eastAsia" w:ascii="Times New Roman" w:hAnsi="Times New Roman" w:eastAsia="宋体" w:cs="Times New Roman"/>
          <w:color w:val="auto"/>
          <w:sz w:val="24"/>
          <w:szCs w:val="24"/>
        </w:rPr>
        <w:t>医院</w:t>
      </w:r>
      <w:r>
        <w:rPr>
          <w:rFonts w:hint="eastAsia" w:ascii="Times New Roman" w:hAnsi="Times New Roman" w:eastAsia="宋体" w:cs="Times New Roman"/>
          <w:color w:val="auto"/>
          <w:sz w:val="24"/>
          <w:szCs w:val="24"/>
          <w:lang w:val="en-US" w:eastAsia="zh-CN"/>
        </w:rPr>
        <w:t>这种</w:t>
      </w:r>
      <w:r>
        <w:rPr>
          <w:rFonts w:ascii="Times New Roman" w:hAnsi="Times New Roman" w:eastAsia="宋体" w:cs="Times New Roman"/>
          <w:color w:val="auto"/>
          <w:sz w:val="24"/>
          <w:szCs w:val="24"/>
        </w:rPr>
        <w:t>要求比较灵活的应用场合。产品</w:t>
      </w:r>
      <w:r>
        <w:rPr>
          <w:rFonts w:hint="eastAsia" w:ascii="Times New Roman" w:hAnsi="Times New Roman" w:eastAsia="宋体" w:cs="Times New Roman"/>
          <w:color w:val="auto"/>
          <w:sz w:val="24"/>
          <w:szCs w:val="24"/>
          <w:lang w:val="en-US" w:eastAsia="zh-CN"/>
        </w:rPr>
        <w:t>需</w:t>
      </w:r>
      <w:r>
        <w:rPr>
          <w:rFonts w:ascii="Times New Roman" w:hAnsi="Times New Roman" w:eastAsia="宋体" w:cs="Times New Roman"/>
          <w:color w:val="auto"/>
          <w:sz w:val="24"/>
          <w:szCs w:val="24"/>
        </w:rPr>
        <w:t>操作简单、质量可靠，性价比高。同时符合IEC61850标准，支持SV输出、GOOSE输入输出，支持传统互感器、模拟量小信号或电子式互感器接入。</w:t>
      </w:r>
    </w:p>
    <w:p w14:paraId="281DBE6C">
      <w:pPr>
        <w:tabs>
          <w:tab w:val="left" w:pos="0"/>
        </w:tabs>
        <w:spacing w:line="360" w:lineRule="auto"/>
        <w:jc w:val="left"/>
        <w:rPr>
          <w:rFonts w:ascii="Times New Roman" w:hAnsi="Times New Roman" w:eastAsia="宋体" w:cs="Times New Roman"/>
          <w:bCs/>
          <w:color w:val="auto"/>
          <w:sz w:val="24"/>
          <w:szCs w:val="24"/>
        </w:rPr>
      </w:pPr>
      <w:r>
        <w:rPr>
          <w:rFonts w:ascii="Times New Roman" w:hAnsi="Times New Roman" w:eastAsia="宋体" w:cs="Times New Roman"/>
          <w:bCs/>
          <w:color w:val="auto"/>
          <w:sz w:val="24"/>
          <w:szCs w:val="24"/>
        </w:rPr>
        <w:t>装置主要特点:</w:t>
      </w:r>
    </w:p>
    <w:p w14:paraId="181EFAEC">
      <w:pPr>
        <w:tabs>
          <w:tab w:val="left" w:pos="0"/>
        </w:tabs>
        <w:spacing w:line="360" w:lineRule="auto"/>
        <w:rPr>
          <w:rFonts w:ascii="Times New Roman" w:hAnsi="Times New Roman" w:eastAsia="宋体" w:cs="Times New Roman"/>
          <w:color w:val="auto"/>
          <w:sz w:val="24"/>
          <w:szCs w:val="24"/>
        </w:rPr>
      </w:pPr>
      <w:r>
        <w:rPr>
          <w:rFonts w:hint="eastAsia" w:ascii="宋体" w:hAnsi="宋体" w:eastAsia="宋体" w:cs="宋体"/>
          <w:color w:val="auto"/>
          <w:sz w:val="24"/>
          <w:szCs w:val="24"/>
        </w:rPr>
        <w:t>◇</w:t>
      </w:r>
      <w:r>
        <w:rPr>
          <w:rFonts w:ascii="Times New Roman" w:hAnsi="Times New Roman" w:eastAsia="宋体" w:cs="Times New Roman"/>
          <w:color w:val="auto"/>
          <w:sz w:val="24"/>
          <w:szCs w:val="24"/>
        </w:rPr>
        <w:t xml:space="preserve"> 保护型号和功能齐全：针对35kV及以下电压等级智能化电力系统特点，保护型号配置合理，保护功能齐全。 </w:t>
      </w:r>
    </w:p>
    <w:p w14:paraId="778CE05C">
      <w:pPr>
        <w:tabs>
          <w:tab w:val="left" w:pos="0"/>
        </w:tabs>
        <w:spacing w:line="360" w:lineRule="auto"/>
        <w:rPr>
          <w:rFonts w:ascii="Times New Roman" w:hAnsi="Times New Roman" w:eastAsia="宋体" w:cs="Times New Roman"/>
          <w:color w:val="auto"/>
          <w:sz w:val="24"/>
          <w:szCs w:val="24"/>
        </w:rPr>
      </w:pPr>
      <w:r>
        <w:rPr>
          <w:rFonts w:hint="eastAsia" w:ascii="宋体" w:hAnsi="宋体" w:eastAsia="宋体" w:cs="宋体"/>
          <w:color w:val="auto"/>
          <w:sz w:val="24"/>
          <w:szCs w:val="24"/>
        </w:rPr>
        <w:t>◇</w:t>
      </w:r>
      <w:r>
        <w:rPr>
          <w:rFonts w:ascii="Times New Roman" w:hAnsi="Times New Roman" w:eastAsia="宋体" w:cs="Times New Roman"/>
          <w:color w:val="auto"/>
          <w:sz w:val="24"/>
          <w:szCs w:val="24"/>
        </w:rPr>
        <w:t xml:space="preserve"> 高度集成：集保护、测量、控制、监测、通讯、录波、事件记录等多种功能于一体。 </w:t>
      </w:r>
    </w:p>
    <w:p w14:paraId="72882533">
      <w:pPr>
        <w:tabs>
          <w:tab w:val="left" w:pos="0"/>
        </w:tabs>
        <w:spacing w:line="360" w:lineRule="auto"/>
        <w:rPr>
          <w:rFonts w:ascii="Times New Roman" w:hAnsi="Times New Roman" w:eastAsia="宋体" w:cs="Times New Roman"/>
          <w:color w:val="auto"/>
          <w:sz w:val="24"/>
          <w:szCs w:val="24"/>
        </w:rPr>
      </w:pPr>
      <w:r>
        <w:rPr>
          <w:rFonts w:hint="eastAsia" w:ascii="宋体" w:hAnsi="宋体" w:eastAsia="宋体" w:cs="宋体"/>
          <w:color w:val="auto"/>
          <w:sz w:val="24"/>
          <w:szCs w:val="24"/>
        </w:rPr>
        <w:t>◇</w:t>
      </w:r>
      <w:r>
        <w:rPr>
          <w:rFonts w:ascii="Times New Roman" w:hAnsi="Times New Roman" w:eastAsia="宋体" w:cs="Times New Roman"/>
          <w:color w:val="auto"/>
          <w:sz w:val="24"/>
          <w:szCs w:val="24"/>
        </w:rPr>
        <w:t xml:space="preserve"> 数字化变电站接口（选配）：具备全数字化变电站接口，支持SV输出，GOOSE输入输出，模拟量小信号输入。 </w:t>
      </w:r>
    </w:p>
    <w:p w14:paraId="6C08186D">
      <w:pPr>
        <w:tabs>
          <w:tab w:val="left" w:pos="0"/>
        </w:tabs>
        <w:spacing w:line="360" w:lineRule="auto"/>
        <w:rPr>
          <w:rFonts w:ascii="Times New Roman" w:hAnsi="Times New Roman" w:eastAsia="宋体" w:cs="Times New Roman"/>
          <w:color w:val="auto"/>
          <w:sz w:val="24"/>
          <w:szCs w:val="24"/>
        </w:rPr>
      </w:pPr>
      <w:r>
        <w:rPr>
          <w:rFonts w:hint="eastAsia" w:ascii="宋体" w:hAnsi="宋体" w:eastAsia="宋体" w:cs="宋体"/>
          <w:color w:val="auto"/>
          <w:sz w:val="24"/>
          <w:szCs w:val="24"/>
        </w:rPr>
        <w:t>◇</w:t>
      </w:r>
      <w:r>
        <w:rPr>
          <w:rFonts w:ascii="Times New Roman" w:hAnsi="Times New Roman" w:eastAsia="宋体" w:cs="Times New Roman"/>
          <w:color w:val="auto"/>
          <w:sz w:val="24"/>
          <w:szCs w:val="24"/>
        </w:rPr>
        <w:t xml:space="preserve"> 扩展功能强大：同一插槽位置可配置不同功能板件，很方便实现开入、开出等通道的扩展。 </w:t>
      </w:r>
    </w:p>
    <w:p w14:paraId="0D9DF407">
      <w:pPr>
        <w:tabs>
          <w:tab w:val="left" w:pos="0"/>
        </w:tabs>
        <w:spacing w:line="360" w:lineRule="auto"/>
        <w:rPr>
          <w:rFonts w:ascii="Times New Roman" w:hAnsi="Times New Roman" w:eastAsia="宋体" w:cs="Times New Roman"/>
          <w:color w:val="auto"/>
          <w:sz w:val="24"/>
          <w:szCs w:val="24"/>
        </w:rPr>
      </w:pPr>
      <w:r>
        <w:rPr>
          <w:rFonts w:hint="eastAsia" w:ascii="宋体" w:hAnsi="宋体" w:eastAsia="宋体" w:cs="宋体"/>
          <w:color w:val="auto"/>
          <w:sz w:val="24"/>
          <w:szCs w:val="24"/>
        </w:rPr>
        <w:t>◇</w:t>
      </w:r>
      <w:r>
        <w:rPr>
          <w:rFonts w:ascii="Times New Roman" w:hAnsi="Times New Roman" w:eastAsia="宋体" w:cs="Times New Roman"/>
          <w:color w:val="auto"/>
          <w:sz w:val="24"/>
          <w:szCs w:val="24"/>
        </w:rPr>
        <w:t xml:space="preserve"> 弧光保护功能（选配）：可通过增加弧光采集板，实现弧光保护功能，可选择是否增加电流突变量作为弧光动作判据，可通过弧光通讯接口实现馈线、母线弧光的整体保护。</w:t>
      </w:r>
    </w:p>
    <w:p w14:paraId="7FA76FB4">
      <w:pPr>
        <w:tabs>
          <w:tab w:val="left" w:pos="0"/>
        </w:tabs>
        <w:spacing w:line="360" w:lineRule="auto"/>
        <w:rPr>
          <w:rFonts w:ascii="Times New Roman" w:hAnsi="Times New Roman" w:eastAsia="宋体" w:cs="Times New Roman"/>
          <w:color w:val="auto"/>
          <w:sz w:val="24"/>
          <w:szCs w:val="24"/>
        </w:rPr>
      </w:pPr>
      <w:r>
        <w:rPr>
          <w:rFonts w:hint="eastAsia" w:ascii="宋体" w:hAnsi="宋体" w:eastAsia="宋体" w:cs="宋体"/>
          <w:color w:val="auto"/>
          <w:sz w:val="24"/>
          <w:szCs w:val="24"/>
        </w:rPr>
        <w:t>◇</w:t>
      </w:r>
      <w:r>
        <w:rPr>
          <w:rFonts w:ascii="Times New Roman" w:hAnsi="Times New Roman" w:eastAsia="宋体" w:cs="Times New Roman"/>
          <w:color w:val="auto"/>
          <w:sz w:val="24"/>
          <w:szCs w:val="24"/>
        </w:rPr>
        <w:t xml:space="preserve"> 强大的通讯功能：采用ARM9独立微处理器进行通讯管理，可提供2路RS485（标配1路）、2路以太网通讯接口、1路打印接口和1路IRIG-B码对时接口；通讯协议支持IEC61850、modbus RTU、modbus TCP、IEC103。各功能单元与主控计算机（或通信管理机）进行通讯，可实现遥测、遥信、遥控、保护定值设定及查询、装置工作状态、SOE事件记录、录波数据等传输功能。 </w:t>
      </w:r>
    </w:p>
    <w:p w14:paraId="55755150">
      <w:pPr>
        <w:tabs>
          <w:tab w:val="left" w:pos="0"/>
        </w:tabs>
        <w:spacing w:line="360" w:lineRule="auto"/>
        <w:rPr>
          <w:rFonts w:ascii="Times New Roman" w:hAnsi="Times New Roman" w:eastAsia="宋体" w:cs="Times New Roman"/>
          <w:color w:val="auto"/>
          <w:sz w:val="24"/>
          <w:szCs w:val="24"/>
        </w:rPr>
      </w:pPr>
      <w:r>
        <w:rPr>
          <w:rFonts w:hint="eastAsia" w:ascii="宋体" w:hAnsi="宋体" w:eastAsia="宋体" w:cs="宋体"/>
          <w:color w:val="auto"/>
          <w:sz w:val="24"/>
          <w:szCs w:val="24"/>
        </w:rPr>
        <w:t>◇</w:t>
      </w:r>
      <w:r>
        <w:rPr>
          <w:rFonts w:ascii="Times New Roman" w:hAnsi="Times New Roman" w:eastAsia="宋体" w:cs="Times New Roman"/>
          <w:color w:val="auto"/>
          <w:sz w:val="24"/>
          <w:szCs w:val="24"/>
        </w:rPr>
        <w:t xml:space="preserve"> 控制回路：装置自带防跳回路，防跳功能解除方便，分合闸回路电流自适应。 </w:t>
      </w:r>
    </w:p>
    <w:p w14:paraId="10BD4CE5">
      <w:pPr>
        <w:tabs>
          <w:tab w:val="left" w:pos="0"/>
        </w:tabs>
        <w:spacing w:line="360" w:lineRule="auto"/>
        <w:rPr>
          <w:rFonts w:ascii="Times New Roman" w:hAnsi="Times New Roman" w:eastAsia="宋体" w:cs="Times New Roman"/>
          <w:color w:val="auto"/>
          <w:sz w:val="24"/>
          <w:szCs w:val="24"/>
        </w:rPr>
      </w:pPr>
      <w:r>
        <w:rPr>
          <w:rFonts w:hint="eastAsia" w:ascii="宋体" w:hAnsi="宋体" w:eastAsia="宋体" w:cs="宋体"/>
          <w:color w:val="auto"/>
          <w:sz w:val="24"/>
          <w:szCs w:val="24"/>
        </w:rPr>
        <w:t>◇</w:t>
      </w:r>
      <w:r>
        <w:rPr>
          <w:rFonts w:ascii="Times New Roman" w:hAnsi="Times New Roman" w:eastAsia="宋体" w:cs="Times New Roman"/>
          <w:color w:val="auto"/>
          <w:sz w:val="24"/>
          <w:szCs w:val="24"/>
        </w:rPr>
        <w:t xml:space="preserve"> 测量功能：高精度测量电流、电压、有功功率 、无功功率、功率因数、频率、零序电流、计算电度。 </w:t>
      </w:r>
      <w:bookmarkStart w:id="134" w:name="_GoBack"/>
      <w:bookmarkEnd w:id="134"/>
    </w:p>
    <w:p w14:paraId="493BB712">
      <w:pPr>
        <w:tabs>
          <w:tab w:val="left" w:pos="0"/>
        </w:tabs>
        <w:spacing w:line="360" w:lineRule="auto"/>
        <w:rPr>
          <w:rFonts w:ascii="Times New Roman" w:hAnsi="Times New Roman" w:eastAsia="宋体" w:cs="Times New Roman"/>
          <w:color w:val="auto"/>
          <w:sz w:val="24"/>
          <w:szCs w:val="24"/>
        </w:rPr>
      </w:pPr>
      <w:r>
        <w:rPr>
          <w:rFonts w:hint="eastAsia" w:ascii="宋体" w:hAnsi="宋体" w:eastAsia="宋体" w:cs="宋体"/>
          <w:color w:val="auto"/>
          <w:sz w:val="24"/>
          <w:szCs w:val="24"/>
        </w:rPr>
        <w:t>◇</w:t>
      </w:r>
      <w:r>
        <w:rPr>
          <w:rFonts w:ascii="Times New Roman" w:hAnsi="Times New Roman" w:eastAsia="宋体" w:cs="Times New Roman"/>
          <w:color w:val="auto"/>
          <w:sz w:val="24"/>
          <w:szCs w:val="24"/>
        </w:rPr>
        <w:t xml:space="preserve"> 强大自检功能：具备软、硬件实时自检、硬件配置自动识别与报警功能。 </w:t>
      </w:r>
    </w:p>
    <w:p w14:paraId="12EB0B21">
      <w:pPr>
        <w:tabs>
          <w:tab w:val="left" w:pos="0"/>
        </w:tabs>
        <w:spacing w:line="360" w:lineRule="auto"/>
        <w:rPr>
          <w:rFonts w:ascii="Times New Roman" w:hAnsi="Times New Roman" w:eastAsia="宋体" w:cs="Times New Roman"/>
          <w:color w:val="auto"/>
          <w:sz w:val="24"/>
          <w:szCs w:val="24"/>
        </w:rPr>
      </w:pPr>
      <w:r>
        <w:rPr>
          <w:rFonts w:hint="eastAsia" w:ascii="宋体" w:hAnsi="宋体" w:eastAsia="宋体" w:cs="宋体"/>
          <w:color w:val="auto"/>
          <w:sz w:val="24"/>
          <w:szCs w:val="24"/>
        </w:rPr>
        <w:t>◇</w:t>
      </w:r>
      <w:r>
        <w:rPr>
          <w:rFonts w:ascii="Times New Roman" w:hAnsi="Times New Roman" w:eastAsia="宋体" w:cs="Times New Roman"/>
          <w:color w:val="auto"/>
          <w:sz w:val="24"/>
          <w:szCs w:val="24"/>
        </w:rPr>
        <w:t xml:space="preserve"> 可编程逻辑功能：各保护功能、继电器、开</w:t>
      </w:r>
      <w:r>
        <w:rPr>
          <w:rFonts w:hint="eastAsia" w:ascii="Times New Roman" w:hAnsi="Times New Roman" w:eastAsia="宋体" w:cs="Times New Roman"/>
          <w:color w:val="auto"/>
          <w:sz w:val="24"/>
          <w:szCs w:val="24"/>
          <w:lang w:val="en-US" w:eastAsia="zh-CN"/>
        </w:rPr>
        <w:t>入</w:t>
      </w:r>
      <w:r>
        <w:rPr>
          <w:rFonts w:ascii="Times New Roman" w:hAnsi="Times New Roman" w:eastAsia="宋体" w:cs="Times New Roman"/>
          <w:color w:val="auto"/>
          <w:sz w:val="24"/>
          <w:szCs w:val="24"/>
        </w:rPr>
        <w:t>量具有逻辑组态功能，用户可以现场根据需要来进行设定：保护动作出口和信号输出可自由整定、开</w:t>
      </w:r>
      <w:r>
        <w:rPr>
          <w:rFonts w:hint="eastAsia" w:ascii="Times New Roman" w:hAnsi="Times New Roman" w:eastAsia="宋体" w:cs="Times New Roman"/>
          <w:color w:val="auto"/>
          <w:sz w:val="24"/>
          <w:szCs w:val="24"/>
          <w:lang w:val="en-US" w:eastAsia="zh-CN"/>
        </w:rPr>
        <w:t>入</w:t>
      </w:r>
      <w:r>
        <w:rPr>
          <w:rFonts w:ascii="Times New Roman" w:hAnsi="Times New Roman" w:eastAsia="宋体" w:cs="Times New Roman"/>
          <w:color w:val="auto"/>
          <w:sz w:val="24"/>
          <w:szCs w:val="24"/>
        </w:rPr>
        <w:t xml:space="preserve">量可通过设定实现非电量保护功能和闭锁保护功能。 </w:t>
      </w:r>
    </w:p>
    <w:p w14:paraId="5E169F71">
      <w:pPr>
        <w:tabs>
          <w:tab w:val="left" w:pos="0"/>
        </w:tabs>
        <w:spacing w:line="360" w:lineRule="auto"/>
        <w:rPr>
          <w:rFonts w:ascii="Times New Roman" w:hAnsi="Times New Roman" w:eastAsia="宋体" w:cs="Times New Roman"/>
          <w:color w:val="auto"/>
          <w:sz w:val="24"/>
          <w:szCs w:val="24"/>
        </w:rPr>
      </w:pPr>
      <w:r>
        <w:rPr>
          <w:rFonts w:hint="eastAsia" w:ascii="宋体" w:hAnsi="宋体" w:eastAsia="宋体" w:cs="宋体"/>
          <w:color w:val="auto"/>
          <w:sz w:val="24"/>
          <w:szCs w:val="24"/>
        </w:rPr>
        <w:t>◇</w:t>
      </w:r>
      <w:r>
        <w:rPr>
          <w:rFonts w:ascii="Times New Roman" w:hAnsi="Times New Roman" w:eastAsia="宋体" w:cs="Times New Roman"/>
          <w:color w:val="auto"/>
          <w:sz w:val="24"/>
          <w:szCs w:val="24"/>
        </w:rPr>
        <w:t xml:space="preserve"> 友好人机界面：大屏幕图形液晶显示，动态显示一次系统图、实时波形图、故障录波图、各种电气参数及保护信息。中文菜单提示，操作快捷方便。 </w:t>
      </w:r>
    </w:p>
    <w:p w14:paraId="24EFA392">
      <w:pPr>
        <w:tabs>
          <w:tab w:val="left" w:pos="0"/>
        </w:tabs>
        <w:spacing w:line="360" w:lineRule="auto"/>
        <w:rPr>
          <w:rFonts w:ascii="Times New Roman" w:hAnsi="Times New Roman" w:eastAsia="宋体" w:cs="Times New Roman"/>
          <w:color w:val="auto"/>
          <w:sz w:val="24"/>
          <w:szCs w:val="24"/>
        </w:rPr>
      </w:pPr>
      <w:r>
        <w:rPr>
          <w:rFonts w:hint="eastAsia" w:ascii="宋体" w:hAnsi="宋体" w:eastAsia="宋体" w:cs="宋体"/>
          <w:color w:val="auto"/>
          <w:sz w:val="24"/>
          <w:szCs w:val="24"/>
        </w:rPr>
        <w:t>◇</w:t>
      </w:r>
      <w:r>
        <w:rPr>
          <w:rFonts w:ascii="Times New Roman" w:hAnsi="Times New Roman" w:eastAsia="宋体" w:cs="Times New Roman"/>
          <w:color w:val="auto"/>
          <w:sz w:val="24"/>
          <w:szCs w:val="24"/>
        </w:rPr>
        <w:t xml:space="preserve"> SOE事件记录：在线记录事件量达256条，先进先出（FIFO）动态刷新，带有时间标记，掉电不丢失。 </w:t>
      </w:r>
    </w:p>
    <w:p w14:paraId="1862D2A3">
      <w:pPr>
        <w:tabs>
          <w:tab w:val="left" w:pos="0"/>
        </w:tabs>
        <w:spacing w:line="360" w:lineRule="auto"/>
        <w:rPr>
          <w:rFonts w:ascii="Times New Roman" w:hAnsi="Times New Roman" w:eastAsia="宋体" w:cs="Times New Roman"/>
          <w:color w:val="auto"/>
          <w:sz w:val="24"/>
          <w:szCs w:val="24"/>
        </w:rPr>
      </w:pPr>
      <w:r>
        <w:rPr>
          <w:rFonts w:hint="eastAsia" w:ascii="宋体" w:hAnsi="宋体" w:eastAsia="宋体" w:cs="宋体"/>
          <w:color w:val="auto"/>
          <w:sz w:val="24"/>
          <w:szCs w:val="24"/>
        </w:rPr>
        <w:t>◇</w:t>
      </w:r>
      <w:r>
        <w:rPr>
          <w:rFonts w:ascii="Times New Roman" w:hAnsi="Times New Roman" w:eastAsia="宋体" w:cs="Times New Roman"/>
          <w:color w:val="auto"/>
          <w:sz w:val="24"/>
          <w:szCs w:val="24"/>
        </w:rPr>
        <w:t xml:space="preserve"> 故障录波功能：采用COMTRADE标准录波格式，可记录20个录波报告，可将故障前、故障中、故障后的电流、电压、断路器状态和保护信息完整真实记录下来，为</w:t>
      </w:r>
      <w:r>
        <w:rPr>
          <w:rFonts w:hint="eastAsia" w:ascii="Times New Roman" w:hAnsi="Times New Roman" w:eastAsia="宋体" w:cs="Times New Roman"/>
          <w:color w:val="auto"/>
          <w:sz w:val="24"/>
          <w:szCs w:val="24"/>
          <w:lang w:val="en-US" w:eastAsia="zh-CN"/>
        </w:rPr>
        <w:t>招标方</w:t>
      </w:r>
      <w:r>
        <w:rPr>
          <w:rFonts w:ascii="Times New Roman" w:hAnsi="Times New Roman" w:eastAsia="宋体" w:cs="Times New Roman"/>
          <w:color w:val="auto"/>
          <w:sz w:val="24"/>
          <w:szCs w:val="24"/>
        </w:rPr>
        <w:t xml:space="preserve">进行故障分析提供依据。 </w:t>
      </w:r>
    </w:p>
    <w:p w14:paraId="22376C57">
      <w:pPr>
        <w:tabs>
          <w:tab w:val="left" w:pos="0"/>
        </w:tabs>
        <w:spacing w:line="360" w:lineRule="auto"/>
        <w:rPr>
          <w:rFonts w:ascii="Times New Roman" w:hAnsi="Times New Roman" w:eastAsia="宋体" w:cs="Times New Roman"/>
          <w:color w:val="auto"/>
          <w:sz w:val="24"/>
          <w:szCs w:val="24"/>
        </w:rPr>
      </w:pPr>
      <w:r>
        <w:rPr>
          <w:rFonts w:hint="eastAsia" w:ascii="宋体" w:hAnsi="宋体" w:eastAsia="宋体" w:cs="宋体"/>
          <w:color w:val="auto"/>
          <w:sz w:val="24"/>
          <w:szCs w:val="24"/>
        </w:rPr>
        <w:t>◇</w:t>
      </w:r>
      <w:r>
        <w:rPr>
          <w:rFonts w:ascii="Times New Roman" w:hAnsi="Times New Roman" w:eastAsia="宋体" w:cs="Times New Roman"/>
          <w:color w:val="auto"/>
          <w:sz w:val="24"/>
          <w:szCs w:val="24"/>
        </w:rPr>
        <w:t xml:space="preserve"> 故障自动推画面功能：当保护动作或者有告警信息时，装置自动弹出画面，提示用户动作或者告警的保护。 </w:t>
      </w:r>
    </w:p>
    <w:p w14:paraId="43441721">
      <w:pPr>
        <w:tabs>
          <w:tab w:val="left" w:pos="0"/>
        </w:tabs>
        <w:spacing w:line="360" w:lineRule="auto"/>
        <w:rPr>
          <w:rFonts w:ascii="Times New Roman" w:hAnsi="Times New Roman" w:eastAsia="宋体" w:cs="Times New Roman"/>
          <w:color w:val="auto"/>
          <w:sz w:val="24"/>
          <w:szCs w:val="24"/>
        </w:rPr>
      </w:pPr>
      <w:r>
        <w:rPr>
          <w:rFonts w:hint="eastAsia" w:ascii="宋体" w:hAnsi="宋体" w:eastAsia="宋体" w:cs="宋体"/>
          <w:color w:val="auto"/>
          <w:sz w:val="24"/>
          <w:szCs w:val="24"/>
        </w:rPr>
        <w:t>◇</w:t>
      </w:r>
      <w:r>
        <w:rPr>
          <w:rFonts w:ascii="Times New Roman" w:hAnsi="Times New Roman" w:eastAsia="宋体" w:cs="Times New Roman"/>
          <w:color w:val="auto"/>
          <w:sz w:val="24"/>
          <w:szCs w:val="24"/>
        </w:rPr>
        <w:t xml:space="preserve"> 调试接口：装置具有专门的以太网调试接口，配备调试软件，调试方便。 </w:t>
      </w:r>
    </w:p>
    <w:p w14:paraId="26381871">
      <w:pPr>
        <w:tabs>
          <w:tab w:val="left" w:pos="0"/>
        </w:tabs>
        <w:spacing w:line="360" w:lineRule="auto"/>
        <w:rPr>
          <w:rFonts w:ascii="Times New Roman" w:hAnsi="Times New Roman" w:eastAsia="宋体" w:cs="Times New Roman"/>
          <w:color w:val="auto"/>
          <w:sz w:val="24"/>
          <w:szCs w:val="24"/>
        </w:rPr>
      </w:pPr>
      <w:r>
        <w:rPr>
          <w:rFonts w:hint="eastAsia" w:ascii="宋体" w:hAnsi="宋体" w:eastAsia="宋体" w:cs="宋体"/>
          <w:color w:val="auto"/>
          <w:sz w:val="24"/>
          <w:szCs w:val="24"/>
        </w:rPr>
        <w:t>◇</w:t>
      </w:r>
      <w:r>
        <w:rPr>
          <w:rFonts w:ascii="Times New Roman" w:hAnsi="Times New Roman" w:eastAsia="宋体" w:cs="Times New Roman"/>
          <w:color w:val="auto"/>
          <w:sz w:val="24"/>
          <w:szCs w:val="24"/>
        </w:rPr>
        <w:t xml:space="preserve"> 全封闭机箱：装置采用全封闭半层4U标准机箱，机箱深度较小，既适合集中组屏安装，也可开关柜分散安装；独特机箱设计方便拼接；强弱电严格分开，采取软件抗干扰措施，装置的抗干扰能力大大提高，对外的电磁辐射满足相关标准。 </w:t>
      </w:r>
    </w:p>
    <w:p w14:paraId="510E7D84">
      <w:pPr>
        <w:tabs>
          <w:tab w:val="left" w:pos="0"/>
        </w:tabs>
        <w:spacing w:line="360" w:lineRule="auto"/>
        <w:rPr>
          <w:rFonts w:ascii="Times New Roman" w:hAnsi="Times New Roman" w:eastAsia="宋体" w:cs="Times New Roman"/>
          <w:color w:val="auto"/>
          <w:sz w:val="24"/>
          <w:szCs w:val="24"/>
        </w:rPr>
      </w:pPr>
      <w:r>
        <w:rPr>
          <w:rFonts w:hint="eastAsia" w:ascii="宋体" w:hAnsi="宋体" w:eastAsia="宋体" w:cs="宋体"/>
          <w:color w:val="auto"/>
          <w:sz w:val="24"/>
          <w:szCs w:val="24"/>
        </w:rPr>
        <w:t>◇</w:t>
      </w:r>
      <w:r>
        <w:rPr>
          <w:rFonts w:ascii="Times New Roman" w:hAnsi="Times New Roman" w:eastAsia="宋体" w:cs="Times New Roman"/>
          <w:color w:val="auto"/>
          <w:sz w:val="24"/>
          <w:szCs w:val="24"/>
        </w:rPr>
        <w:t xml:space="preserve"> 符合《DL/T 478-2013 继电保护和安全自动装置通用技术条件》规程要求。 </w:t>
      </w:r>
    </w:p>
    <w:p w14:paraId="33F22252">
      <w:pPr>
        <w:tabs>
          <w:tab w:val="left" w:pos="0"/>
        </w:tabs>
        <w:spacing w:line="360" w:lineRule="auto"/>
        <w:rPr>
          <w:rFonts w:ascii="Times New Roman" w:hAnsi="Times New Roman" w:eastAsia="宋体" w:cs="Times New Roman"/>
          <w:color w:val="auto"/>
          <w:sz w:val="24"/>
          <w:szCs w:val="24"/>
        </w:rPr>
      </w:pPr>
      <w:r>
        <w:rPr>
          <w:rFonts w:hint="eastAsia" w:ascii="宋体" w:hAnsi="宋体" w:eastAsia="宋体" w:cs="宋体"/>
          <w:color w:val="auto"/>
          <w:sz w:val="24"/>
          <w:szCs w:val="24"/>
        </w:rPr>
        <w:t>◇</w:t>
      </w:r>
      <w:r>
        <w:rPr>
          <w:rFonts w:ascii="Times New Roman" w:hAnsi="Times New Roman" w:eastAsia="宋体" w:cs="Times New Roman"/>
          <w:color w:val="auto"/>
          <w:sz w:val="24"/>
          <w:szCs w:val="24"/>
        </w:rPr>
        <w:t xml:space="preserve"> 符合《GB/T 14285-2016 继电保护和安全自动装置技术规程》规程要求。 </w:t>
      </w:r>
    </w:p>
    <w:p w14:paraId="5E287C84">
      <w:pPr>
        <w:tabs>
          <w:tab w:val="left" w:pos="0"/>
        </w:tabs>
        <w:spacing w:line="360" w:lineRule="auto"/>
        <w:rPr>
          <w:rFonts w:ascii="Times New Roman" w:hAnsi="Times New Roman" w:eastAsia="宋体" w:cs="Times New Roman"/>
          <w:color w:val="auto"/>
          <w:sz w:val="24"/>
          <w:szCs w:val="24"/>
        </w:rPr>
      </w:pPr>
      <w:r>
        <w:rPr>
          <w:rFonts w:hint="eastAsia" w:ascii="宋体" w:hAnsi="宋体" w:eastAsia="宋体" w:cs="宋体"/>
          <w:color w:val="auto"/>
          <w:sz w:val="24"/>
          <w:szCs w:val="24"/>
        </w:rPr>
        <w:t>◇</w:t>
      </w:r>
      <w:r>
        <w:rPr>
          <w:rFonts w:ascii="Times New Roman" w:hAnsi="Times New Roman" w:eastAsia="宋体" w:cs="Times New Roman"/>
          <w:color w:val="auto"/>
          <w:sz w:val="24"/>
          <w:szCs w:val="24"/>
        </w:rPr>
        <w:t xml:space="preserve"> 支持DL/T667-1999(ide IEC60870-5-103)规约、Modbus规约和DL/T860（IEC61850)规约</w:t>
      </w:r>
    </w:p>
    <w:p w14:paraId="18A5AD55">
      <w:pPr>
        <w:spacing w:before="120" w:after="120" w:line="360" w:lineRule="auto"/>
        <w:jc w:val="left"/>
        <w:outlineLvl w:val="2"/>
        <w:rPr>
          <w:rFonts w:ascii="宋体" w:hAnsi="宋体" w:eastAsia="宋体"/>
          <w:b/>
          <w:bCs/>
          <w:color w:val="auto"/>
          <w:sz w:val="24"/>
          <w:szCs w:val="24"/>
        </w:rPr>
      </w:pPr>
      <w:bookmarkStart w:id="63" w:name="_Toc244176125"/>
      <w:bookmarkStart w:id="64" w:name="_Toc244176394"/>
      <w:r>
        <w:rPr>
          <w:rFonts w:hint="eastAsia" w:ascii="宋体" w:hAnsi="宋体" w:eastAsia="宋体"/>
          <w:b/>
          <w:bCs/>
          <w:color w:val="auto"/>
          <w:sz w:val="24"/>
          <w:szCs w:val="24"/>
        </w:rPr>
        <w:t>4.</w:t>
      </w:r>
      <w:r>
        <w:rPr>
          <w:rFonts w:ascii="宋体" w:hAnsi="宋体" w:eastAsia="宋体"/>
          <w:b/>
          <w:bCs/>
          <w:color w:val="auto"/>
          <w:sz w:val="24"/>
          <w:szCs w:val="24"/>
        </w:rPr>
        <w:t>1</w:t>
      </w:r>
      <w:r>
        <w:rPr>
          <w:rFonts w:hint="eastAsia" w:ascii="宋体" w:hAnsi="宋体" w:eastAsia="宋体"/>
          <w:b/>
          <w:bCs/>
          <w:color w:val="auto"/>
          <w:sz w:val="24"/>
          <w:szCs w:val="24"/>
        </w:rPr>
        <w:t>.</w:t>
      </w:r>
      <w:r>
        <w:rPr>
          <w:rFonts w:ascii="宋体" w:hAnsi="宋体" w:eastAsia="宋体"/>
          <w:b/>
          <w:bCs/>
          <w:color w:val="auto"/>
          <w:sz w:val="24"/>
          <w:szCs w:val="24"/>
        </w:rPr>
        <w:t>4 电力</w:t>
      </w:r>
      <w:r>
        <w:rPr>
          <w:rFonts w:hint="eastAsia" w:ascii="宋体" w:hAnsi="宋体" w:eastAsia="宋体"/>
          <w:b/>
          <w:bCs/>
          <w:color w:val="auto"/>
          <w:sz w:val="24"/>
          <w:szCs w:val="24"/>
        </w:rPr>
        <w:t>设备智能温度监测</w:t>
      </w:r>
      <w:bookmarkEnd w:id="63"/>
      <w:bookmarkEnd w:id="64"/>
    </w:p>
    <w:p w14:paraId="2E55EBFC">
      <w:pPr>
        <w:spacing w:line="360" w:lineRule="auto"/>
        <w:jc w:val="left"/>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1、变压器</w:t>
      </w:r>
      <w:r>
        <w:rPr>
          <w:rFonts w:ascii="Times New Roman" w:hAnsi="Times New Roman" w:eastAsia="宋体" w:cs="Times New Roman"/>
          <w:b/>
          <w:color w:val="auto"/>
          <w:sz w:val="24"/>
          <w:szCs w:val="24"/>
        </w:rPr>
        <w:t>温度监测</w:t>
      </w:r>
    </w:p>
    <w:p w14:paraId="2695419F">
      <w:pPr>
        <w:spacing w:line="360" w:lineRule="auto"/>
        <w:ind w:firstLine="480" w:firstLineChars="200"/>
        <w:jc w:val="left"/>
        <w:rPr>
          <w:rFonts w:hint="eastAsia" w:ascii="宋体" w:hAnsi="宋体" w:eastAsia="宋体"/>
          <w:color w:val="auto"/>
          <w:sz w:val="24"/>
          <w:szCs w:val="24"/>
        </w:rPr>
      </w:pPr>
      <w:r>
        <w:rPr>
          <w:rFonts w:hint="eastAsia" w:ascii="宋体" w:hAnsi="宋体" w:eastAsia="宋体"/>
          <w:color w:val="auto"/>
          <w:sz w:val="24"/>
          <w:szCs w:val="24"/>
        </w:rPr>
        <w:t>通过安装带有通讯功能的变压器温控仪</w:t>
      </w:r>
      <w:r>
        <w:rPr>
          <w:rFonts w:ascii="宋体" w:hAnsi="宋体" w:eastAsia="宋体"/>
          <w:color w:val="auto"/>
          <w:sz w:val="24"/>
          <w:szCs w:val="24"/>
        </w:rPr>
        <w:t>实现变压器温度、负荷等数据</w:t>
      </w:r>
      <w:r>
        <w:rPr>
          <w:rFonts w:hint="eastAsia" w:ascii="宋体" w:hAnsi="宋体" w:eastAsia="宋体"/>
          <w:color w:val="auto"/>
          <w:sz w:val="24"/>
          <w:szCs w:val="24"/>
        </w:rPr>
        <w:t>的</w:t>
      </w:r>
      <w:r>
        <w:rPr>
          <w:rFonts w:ascii="宋体" w:hAnsi="宋体" w:eastAsia="宋体"/>
          <w:color w:val="auto"/>
          <w:sz w:val="24"/>
          <w:szCs w:val="24"/>
        </w:rPr>
        <w:t>实时监测</w:t>
      </w:r>
      <w:r>
        <w:rPr>
          <w:rFonts w:hint="eastAsia" w:ascii="宋体" w:hAnsi="宋体" w:eastAsia="宋体"/>
          <w:color w:val="auto"/>
          <w:sz w:val="24"/>
          <w:szCs w:val="24"/>
        </w:rPr>
        <w:t>，对于变压器高温告警、超温跳闸、风机故障等异常信息可以及时发现，并进行积极维修，缩短故障排除时间，</w:t>
      </w:r>
      <w:r>
        <w:rPr>
          <w:rFonts w:ascii="宋体" w:hAnsi="宋体" w:eastAsia="宋体"/>
          <w:color w:val="auto"/>
          <w:sz w:val="24"/>
          <w:szCs w:val="24"/>
        </w:rPr>
        <w:t>提高用电可靠性和安全性。</w:t>
      </w:r>
    </w:p>
    <w:p w14:paraId="10C0B878">
      <w:pPr>
        <w:spacing w:line="360" w:lineRule="auto"/>
        <w:ind w:firstLine="480" w:firstLineChars="200"/>
        <w:jc w:val="left"/>
        <w:rPr>
          <w:rFonts w:hint="eastAsia" w:ascii="宋体" w:hAnsi="宋体" w:eastAsia="宋体"/>
          <w:color w:val="auto"/>
          <w:sz w:val="24"/>
          <w:szCs w:val="24"/>
        </w:rPr>
      </w:pPr>
      <w:r>
        <w:rPr>
          <w:rFonts w:hint="eastAsia" w:ascii="宋体" w:hAnsi="宋体" w:eastAsia="宋体"/>
          <w:color w:val="auto"/>
          <w:sz w:val="24"/>
          <w:szCs w:val="24"/>
        </w:rPr>
        <w:t>干式变压器温控仪是干变专用温度监测控制仪表，</w:t>
      </w:r>
      <w:r>
        <w:rPr>
          <w:rFonts w:ascii="宋体" w:hAnsi="宋体" w:eastAsia="宋体"/>
          <w:color w:val="auto"/>
          <w:sz w:val="24"/>
          <w:szCs w:val="24"/>
        </w:rPr>
        <w:t>可根据预设阈值自动启停冷却风机，绕组升温时启动风冷降温，温度回落自动关停风机，兼顾散热效果与能耗控制。具备两级温度保护功能，超温时输出告警信号，温度持续超标输出跳闸信号，切断变压器电源，防止绕组过热烧毁。同时支持传感器断线、短路故障自检报警，配备RS485通讯接口，可将温度、告警、风机状态上传至智能配电监控后台，实现远程监视。该装置是干式变压器安全运行的核心配套设备</w:t>
      </w:r>
      <w:r>
        <w:rPr>
          <w:rFonts w:hint="eastAsia" w:ascii="宋体" w:hAnsi="宋体" w:eastAsia="宋体"/>
          <w:color w:val="auto"/>
          <w:sz w:val="24"/>
          <w:szCs w:val="24"/>
        </w:rPr>
        <w:t>，有效规避高温引发绝缘老化，保障医院配电主变稳定持续供电。</w:t>
      </w:r>
    </w:p>
    <w:p w14:paraId="7F6740F6">
      <w:pPr>
        <w:spacing w:line="360" w:lineRule="auto"/>
        <w:jc w:val="left"/>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2、开关柜</w:t>
      </w:r>
      <w:r>
        <w:rPr>
          <w:rFonts w:ascii="Times New Roman" w:hAnsi="Times New Roman" w:eastAsia="宋体" w:cs="Times New Roman"/>
          <w:b/>
          <w:color w:val="auto"/>
          <w:sz w:val="24"/>
          <w:szCs w:val="24"/>
        </w:rPr>
        <w:t>温度监测</w:t>
      </w:r>
    </w:p>
    <w:p w14:paraId="0466EEAF">
      <w:pPr>
        <w:spacing w:line="360" w:lineRule="auto"/>
        <w:ind w:firstLine="480" w:firstLineChars="200"/>
        <w:jc w:val="left"/>
        <w:rPr>
          <w:rFonts w:ascii="Times New Roman" w:hAnsi="Times New Roman" w:eastAsia="宋体" w:cs="Times New Roman"/>
          <w:bCs/>
          <w:color w:val="auto"/>
          <w:kern w:val="21"/>
          <w:sz w:val="24"/>
          <w:szCs w:val="24"/>
        </w:rPr>
      </w:pPr>
      <w:r>
        <w:rPr>
          <w:rFonts w:hint="eastAsia" w:ascii="Times New Roman" w:hAnsi="Times New Roman" w:eastAsia="宋体" w:cs="Times New Roman"/>
          <w:bCs/>
          <w:color w:val="auto"/>
          <w:kern w:val="21"/>
          <w:sz w:val="24"/>
          <w:szCs w:val="24"/>
        </w:rPr>
        <w:t>低压开关柜电缆头无源无线测温装置由无源测温传感器与无线接收终端组成，传感器卡扣式安装在电缆接线端子位置，依靠</w:t>
      </w:r>
      <w:r>
        <w:rPr>
          <w:rFonts w:ascii="Times New Roman" w:hAnsi="Times New Roman" w:eastAsia="宋体" w:cs="Times New Roman"/>
          <w:bCs/>
          <w:color w:val="auto"/>
          <w:kern w:val="21"/>
          <w:sz w:val="24"/>
          <w:szCs w:val="24"/>
        </w:rPr>
        <w:t>CT感应取电，无需电池与二次布线，可实时采集电缆接头温度数据。</w:t>
      </w:r>
    </w:p>
    <w:p w14:paraId="02627276">
      <w:pPr>
        <w:spacing w:line="360" w:lineRule="auto"/>
        <w:ind w:firstLine="480" w:firstLineChars="200"/>
        <w:jc w:val="left"/>
        <w:rPr>
          <w:rFonts w:ascii="Times New Roman" w:hAnsi="Times New Roman" w:eastAsia="宋体" w:cs="Times New Roman"/>
          <w:bCs/>
          <w:color w:val="auto"/>
          <w:kern w:val="21"/>
          <w:sz w:val="24"/>
          <w:szCs w:val="24"/>
        </w:rPr>
      </w:pPr>
      <w:r>
        <w:rPr>
          <w:rFonts w:ascii="Times New Roman" w:hAnsi="Times New Roman" w:eastAsia="宋体" w:cs="Times New Roman"/>
          <w:bCs/>
          <w:color w:val="auto"/>
          <w:kern w:val="21"/>
          <w:sz w:val="24"/>
          <w:szCs w:val="24"/>
        </w:rPr>
        <w:t>装置通过无线方式将温度信号上传至测温采集终端，再经RS485通讯接入智能配电运维后台，实现电缆接头温度在线监测、温升曲线记录。可自定义高温预警阈值，接点过热时自动推送告警信息，提前发现因端子松动、氧化、负荷偏大引发的发热隐患，避免电缆绝缘老化、起火跳闸事故。该监测方案适配医院低压柜改造，弥补人工巡检无法实时监测柜内隐蔽接点的短板，降低电气火</w:t>
      </w:r>
      <w:r>
        <w:rPr>
          <w:rFonts w:hint="eastAsia" w:ascii="Times New Roman" w:hAnsi="Times New Roman" w:eastAsia="宋体" w:cs="Times New Roman"/>
          <w:bCs/>
          <w:color w:val="auto"/>
          <w:kern w:val="21"/>
          <w:sz w:val="24"/>
          <w:szCs w:val="24"/>
        </w:rPr>
        <w:t>灾风险，保障重要医疗负荷供电稳定。</w:t>
      </w:r>
    </w:p>
    <w:p w14:paraId="528665AA">
      <w:pPr>
        <w:spacing w:line="360" w:lineRule="auto"/>
        <w:jc w:val="left"/>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3、抽屉柜</w:t>
      </w:r>
      <w:r>
        <w:rPr>
          <w:rFonts w:ascii="Times New Roman" w:hAnsi="Times New Roman" w:eastAsia="宋体" w:cs="Times New Roman"/>
          <w:b/>
          <w:color w:val="auto"/>
          <w:sz w:val="24"/>
          <w:szCs w:val="24"/>
        </w:rPr>
        <w:t>温度监测</w:t>
      </w:r>
    </w:p>
    <w:p w14:paraId="65BB039C">
      <w:pPr>
        <w:spacing w:line="360" w:lineRule="auto"/>
        <w:ind w:firstLine="600" w:firstLineChars="250"/>
        <w:jc w:val="left"/>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低压抽屉柜无源无线测温装置，采用卡扣式无源测温传感器，安装于抽屉单元内电缆接线端子、动静触头、电缆头等发热关键点。传感器依靠感应取电工作，无需电池供电，安装便捷，不破坏原有一次回路结构，适合抽屉柜狭小空间内改造。装置实时采集测点温度，无线传输至测温汇集终端，再通过通讯接入智能配电运维平台，持续记录温度变化曲线。可设置多级温度告警阈值，当接头松动、接触不良、过载发热时及时发出告警，提前排查隐患。抽屉柜触头、电缆头属于隐蔽发热点位，人工巡检难以持续监控，在线测温能够及时发现异常温升，防范过热烧蚀、绝缘击穿、短路起火等故障，保障医院低压抽屉柜回路持续可靠供电，降低突发停电风险。</w:t>
      </w:r>
    </w:p>
    <w:p w14:paraId="0A53BB95">
      <w:pPr>
        <w:spacing w:line="360" w:lineRule="auto"/>
        <w:jc w:val="center"/>
        <w:rPr>
          <w:rFonts w:ascii="Times New Roman" w:hAnsi="Times New Roman" w:eastAsia="宋体" w:cs="Times New Roman"/>
          <w:b/>
          <w:color w:val="auto"/>
          <w:sz w:val="24"/>
          <w:szCs w:val="24"/>
        </w:rPr>
      </w:pPr>
    </w:p>
    <w:p w14:paraId="410EF96E">
      <w:pPr>
        <w:spacing w:line="360" w:lineRule="auto"/>
        <w:jc w:val="left"/>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4、配电箱</w:t>
      </w:r>
      <w:r>
        <w:rPr>
          <w:rFonts w:ascii="Times New Roman" w:hAnsi="Times New Roman" w:eastAsia="宋体" w:cs="Times New Roman"/>
          <w:b/>
          <w:color w:val="auto"/>
          <w:sz w:val="24"/>
          <w:szCs w:val="24"/>
        </w:rPr>
        <w:t>温度监测</w:t>
      </w:r>
    </w:p>
    <w:p w14:paraId="576751C6">
      <w:pPr>
        <w:spacing w:line="360" w:lineRule="auto"/>
        <w:ind w:firstLine="480" w:firstLineChars="200"/>
        <w:jc w:val="left"/>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配电箱无源无线测温装置，针对三相动力回路，在箱内</w:t>
      </w:r>
      <w:r>
        <w:rPr>
          <w:rFonts w:ascii="Times New Roman" w:hAnsi="Times New Roman" w:eastAsia="宋体" w:cs="Times New Roman"/>
          <w:color w:val="auto"/>
          <w:sz w:val="24"/>
          <w:szCs w:val="24"/>
        </w:rPr>
        <w:t>A、B、C三相电缆头、接线端子等易发热点位分别安装卡扣式无源测温传感器，依靠CT感应取电，无需电池供电，不改动原有接线结构，适配配电箱紧凑空间。装置实时采集三相接点温度，无线传输数据至测温汇集终端，经由通讯接入智能配电运维后台，自动存储温度数据、生成温升曲线。可设置多级温度预警阈值，当端子松动、氧化、负荷增大造成异常升温时，及时推送告警信息。配电箱接线端子属于隐蔽发热点，人工巡检难以全天候监测，三相同步测温可全面捕捉各相过热隐患，避免绝缘加速老化、打火甚至电气</w:t>
      </w:r>
      <w:r>
        <w:rPr>
          <w:rFonts w:hint="eastAsia" w:ascii="Times New Roman" w:hAnsi="Times New Roman" w:eastAsia="宋体" w:cs="Times New Roman"/>
          <w:color w:val="auto"/>
          <w:sz w:val="24"/>
          <w:szCs w:val="24"/>
        </w:rPr>
        <w:t>火灾事故。该装置适配医院末端动力配电箱智能化改造，补齐三相末端回路温度监测短板，降低用电安全风险，保障医疗区域供电稳定可靠。</w:t>
      </w:r>
    </w:p>
    <w:p w14:paraId="1E210E6F">
      <w:pPr>
        <w:spacing w:line="360" w:lineRule="auto"/>
        <w:jc w:val="left"/>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5、配电室</w:t>
      </w:r>
      <w:r>
        <w:rPr>
          <w:rFonts w:ascii="Times New Roman" w:hAnsi="Times New Roman" w:eastAsia="宋体" w:cs="Times New Roman"/>
          <w:b/>
          <w:color w:val="auto"/>
          <w:sz w:val="24"/>
          <w:szCs w:val="24"/>
        </w:rPr>
        <w:t>环境温湿度</w:t>
      </w:r>
      <w:r>
        <w:rPr>
          <w:rFonts w:hint="eastAsia" w:ascii="Times New Roman" w:hAnsi="Times New Roman" w:eastAsia="宋体" w:cs="Times New Roman"/>
          <w:b/>
          <w:color w:val="auto"/>
          <w:sz w:val="24"/>
          <w:szCs w:val="24"/>
        </w:rPr>
        <w:t>监测</w:t>
      </w:r>
    </w:p>
    <w:p w14:paraId="59DD293E">
      <w:pPr>
        <w:pStyle w:val="103"/>
        <w:spacing w:line="360" w:lineRule="auto"/>
        <w:ind w:firstLine="480"/>
        <w:rPr>
          <w:rFonts w:hint="eastAsia" w:cs="Times New Roman"/>
          <w:bCs/>
          <w:color w:val="auto"/>
          <w:kern w:val="21"/>
          <w:sz w:val="24"/>
          <w:szCs w:val="24"/>
          <w:lang w:val="en-US" w:eastAsia="zh-CN" w:bidi="ar-SA"/>
        </w:rPr>
      </w:pPr>
      <w:r>
        <w:rPr>
          <w:rFonts w:hint="eastAsia" w:cs="Times New Roman"/>
          <w:bCs/>
          <w:color w:val="auto"/>
          <w:kern w:val="21"/>
          <w:sz w:val="24"/>
          <w:szCs w:val="24"/>
          <w:lang w:val="en-US" w:eastAsia="zh-CN" w:bidi="ar-SA"/>
        </w:rPr>
        <w:t>配电室壁挂式温湿度传感器，采用工业级传感芯片，实时采集配电室内环境温度与相对湿度数值，本地液晶屏直观显示监测数据。设备搭载</w:t>
      </w:r>
      <w:r>
        <w:rPr>
          <w:rFonts w:cs="Times New Roman"/>
          <w:bCs/>
          <w:color w:val="auto"/>
          <w:kern w:val="21"/>
          <w:sz w:val="24"/>
          <w:szCs w:val="24"/>
          <w:lang w:val="en-US" w:eastAsia="zh-CN" w:bidi="ar-SA"/>
        </w:rPr>
        <w:t>RS485通讯接口，支持Modbus协议，可将温湿度数据上传至配电室辅控/智能配电运维后台，实现远程实时查看、历史数据存储。可自定义温湿度上下限告警阈值，当环境温湿度超标时触发告警，联动空调、除湿机等设备启停。配电室湿度过高易造成设备凝露、绝缘下降，温度过高会加速元器件老化</w:t>
      </w:r>
      <w:r>
        <w:rPr>
          <w:rFonts w:hint="eastAsia" w:cs="Times New Roman"/>
          <w:bCs/>
          <w:color w:val="auto"/>
          <w:kern w:val="21"/>
          <w:sz w:val="24"/>
          <w:szCs w:val="24"/>
          <w:lang w:val="en-US" w:eastAsia="zh-CN" w:bidi="ar-SA"/>
        </w:rPr>
        <w:t>。传感器通过4-20mA接口连接至动环监控报警主机，温湿度模拟量能实时上传平台，前端及运维中心能随时查阅设备运行场地的环境温湿度，并做出相应的处理（远程遥控空调或排风扇）。</w:t>
      </w:r>
    </w:p>
    <w:p w14:paraId="0F256427">
      <w:pPr>
        <w:pStyle w:val="103"/>
        <w:spacing w:line="360" w:lineRule="auto"/>
        <w:ind w:firstLine="480"/>
        <w:rPr>
          <w:rFonts w:hint="eastAsia" w:cs="Times New Roman"/>
          <w:bCs/>
          <w:color w:val="auto"/>
          <w:kern w:val="21"/>
          <w:sz w:val="24"/>
          <w:szCs w:val="24"/>
          <w:lang w:val="en-US" w:eastAsia="zh-CN" w:bidi="ar-SA"/>
        </w:rPr>
      </w:pPr>
      <w:r>
        <w:rPr>
          <w:rFonts w:cs="Times New Roman"/>
          <w:bCs/>
          <w:color w:val="auto"/>
          <w:kern w:val="21"/>
          <w:sz w:val="24"/>
          <w:szCs w:val="24"/>
          <w:lang w:val="en-US" w:eastAsia="zh-CN" w:bidi="ar-SA"/>
        </w:rPr>
        <w:t>该装置实现环境全天候监测，弥补人工巡检间断性的短板，及时规避潮湿、高温带来的设备故障风险，保障开关</w:t>
      </w:r>
      <w:r>
        <w:rPr>
          <w:rFonts w:hint="eastAsia" w:cs="Times New Roman"/>
          <w:bCs/>
          <w:color w:val="auto"/>
          <w:kern w:val="21"/>
          <w:sz w:val="24"/>
          <w:szCs w:val="24"/>
          <w:lang w:val="en-US" w:eastAsia="zh-CN" w:bidi="ar-SA"/>
        </w:rPr>
        <w:t>柜、变压器等配电设备长期稳定运行，满足医院配电室环境智能化监控改造需求。</w:t>
      </w:r>
    </w:p>
    <w:p w14:paraId="31353179">
      <w:pPr>
        <w:spacing w:before="120" w:after="120" w:line="360" w:lineRule="auto"/>
        <w:jc w:val="left"/>
        <w:outlineLvl w:val="2"/>
        <w:rPr>
          <w:rFonts w:ascii="宋体" w:hAnsi="宋体" w:eastAsia="宋体"/>
          <w:b/>
          <w:bCs/>
          <w:color w:val="auto"/>
          <w:sz w:val="24"/>
          <w:szCs w:val="24"/>
        </w:rPr>
      </w:pPr>
      <w:bookmarkStart w:id="65" w:name="_Toc244176126"/>
      <w:bookmarkStart w:id="66" w:name="_Toc244176395"/>
      <w:r>
        <w:rPr>
          <w:rFonts w:hint="eastAsia" w:ascii="宋体" w:hAnsi="宋体" w:eastAsia="宋体"/>
          <w:b/>
          <w:bCs/>
          <w:color w:val="auto"/>
          <w:sz w:val="24"/>
          <w:szCs w:val="24"/>
        </w:rPr>
        <w:t>4.1</w:t>
      </w:r>
      <w:r>
        <w:rPr>
          <w:rFonts w:ascii="宋体" w:hAnsi="宋体" w:eastAsia="宋体"/>
          <w:b/>
          <w:bCs/>
          <w:color w:val="auto"/>
          <w:sz w:val="24"/>
          <w:szCs w:val="24"/>
        </w:rPr>
        <w:t>.</w:t>
      </w:r>
      <w:r>
        <w:rPr>
          <w:rFonts w:hint="eastAsia" w:ascii="宋体" w:hAnsi="宋体" w:eastAsia="宋体"/>
          <w:b/>
          <w:bCs/>
          <w:color w:val="auto"/>
          <w:sz w:val="24"/>
          <w:szCs w:val="24"/>
        </w:rPr>
        <w:t xml:space="preserve">5 </w:t>
      </w:r>
      <w:r>
        <w:rPr>
          <w:rFonts w:ascii="宋体" w:hAnsi="宋体" w:eastAsia="宋体"/>
          <w:b/>
          <w:bCs/>
          <w:color w:val="auto"/>
          <w:sz w:val="24"/>
          <w:szCs w:val="24"/>
        </w:rPr>
        <w:t>火灾自动报警系统</w:t>
      </w:r>
      <w:bookmarkEnd w:id="65"/>
      <w:bookmarkEnd w:id="66"/>
    </w:p>
    <w:p w14:paraId="60B7B8AF">
      <w:pPr>
        <w:spacing w:line="360" w:lineRule="auto"/>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    在变电站配电室室内安装烟感、温感探测器进行实时电气火灾状态监测，一旦发生报警，系统自动切换到相应的监控界面，且火警状态图标变红闪烁显示，同时产生报警事件进行记录存储及有相应的处理提示，并第一时间启动对外报警系统，以提醒相关管理人员，确定操作，避免造成更大的损失。</w:t>
      </w:r>
      <w:r>
        <w:rPr>
          <w:rFonts w:ascii="Times New Roman" w:hAnsi="Times New Roman" w:eastAsia="宋体" w:cs="Times New Roman"/>
          <w:color w:val="auto"/>
          <w:kern w:val="44"/>
          <w:sz w:val="24"/>
          <w:szCs w:val="24"/>
        </w:rPr>
        <w:t>系统通过火灾触发装置对防区进行全方位监视，触发装置可将现场火情信号实时传送至主控中心及分控室的消防报警主机。</w:t>
      </w:r>
    </w:p>
    <w:p w14:paraId="1078CDF8">
      <w:pPr>
        <w:spacing w:before="120" w:after="120" w:line="360" w:lineRule="auto"/>
        <w:jc w:val="left"/>
        <w:outlineLvl w:val="2"/>
        <w:rPr>
          <w:rFonts w:ascii="宋体" w:hAnsi="宋体" w:eastAsia="宋体"/>
          <w:b/>
          <w:bCs/>
          <w:color w:val="auto"/>
          <w:sz w:val="24"/>
          <w:szCs w:val="24"/>
        </w:rPr>
      </w:pPr>
      <w:bookmarkStart w:id="67" w:name="_Toc244176127"/>
      <w:bookmarkStart w:id="68" w:name="_Toc244176396"/>
      <w:r>
        <w:rPr>
          <w:rFonts w:hint="eastAsia" w:ascii="宋体" w:hAnsi="宋体" w:eastAsia="宋体"/>
          <w:b/>
          <w:bCs/>
          <w:color w:val="auto"/>
          <w:sz w:val="24"/>
          <w:szCs w:val="24"/>
        </w:rPr>
        <w:t>4.1</w:t>
      </w:r>
      <w:r>
        <w:rPr>
          <w:rFonts w:ascii="宋体" w:hAnsi="宋体" w:eastAsia="宋体"/>
          <w:b/>
          <w:bCs/>
          <w:color w:val="auto"/>
          <w:sz w:val="24"/>
          <w:szCs w:val="24"/>
        </w:rPr>
        <w:t>.6</w:t>
      </w:r>
      <w:r>
        <w:rPr>
          <w:rFonts w:hint="eastAsia" w:ascii="宋体" w:hAnsi="宋体" w:eastAsia="宋体"/>
          <w:b/>
          <w:bCs/>
          <w:color w:val="auto"/>
          <w:sz w:val="24"/>
          <w:szCs w:val="24"/>
        </w:rPr>
        <w:t xml:space="preserve"> 水浸</w:t>
      </w:r>
      <w:r>
        <w:rPr>
          <w:rFonts w:ascii="宋体" w:hAnsi="宋体" w:eastAsia="宋体"/>
          <w:b/>
          <w:bCs/>
          <w:color w:val="auto"/>
          <w:sz w:val="24"/>
          <w:szCs w:val="24"/>
        </w:rPr>
        <w:t>装置</w:t>
      </w:r>
      <w:bookmarkEnd w:id="67"/>
      <w:bookmarkEnd w:id="68"/>
    </w:p>
    <w:p w14:paraId="0D3DD01E">
      <w:pPr>
        <w:pStyle w:val="8"/>
        <w:topLinePunct/>
        <w:spacing w:line="360" w:lineRule="auto"/>
        <w:ind w:left="105" w:leftChars="50" w:firstLine="480"/>
        <w:rPr>
          <w:rFonts w:hint="eastAsia" w:ascii="宋体" w:hAnsi="宋体"/>
          <w:color w:val="auto"/>
          <w:sz w:val="24"/>
        </w:rPr>
      </w:pPr>
      <w:r>
        <w:rPr>
          <w:rFonts w:hint="eastAsia" w:ascii="宋体" w:hAnsi="宋体"/>
          <w:color w:val="auto"/>
          <w:sz w:val="24"/>
        </w:rPr>
        <w:t>配电室线缆式水浸监测装置由水浸变送器与黄色漏水感应绳配套组成，感应绳可沿电缆沟底部、配电室低洼处敷设，接触积水后即可触发检测信号。装置支持</w:t>
      </w:r>
      <w:r>
        <w:rPr>
          <w:rFonts w:ascii="宋体" w:hAnsi="宋体"/>
          <w:color w:val="auto"/>
          <w:sz w:val="24"/>
        </w:rPr>
        <w:t>RS485通讯，接入智能配电运维监控平台，实时上传漏水告警信号。电缆沟积水会腐蚀电缆外护套，造成绝缘下降，极易引发短路、漏电事故；配电室进水会威胁开关柜、变压器等核心设备安全。该套装置实现24小时不间断监测，可在积水初期及时发出告警，提醒运维人员快速处置，避免水淹配电设备造成停电事故。</w:t>
      </w:r>
      <w:r>
        <w:rPr>
          <w:bCs/>
          <w:color w:val="auto"/>
          <w:kern w:val="21"/>
          <w:sz w:val="24"/>
        </w:rPr>
        <w:t>当水位超过警戒线时，能够通过开关量报警。电缆沟内的水浸传感器通过开关量输出报警信号给动环监控报警主机，动环监控报警主机根据预置规则启动抽水泵排水，同时把现场积水情况及时上传平台, 使前端及运维中心知情。</w:t>
      </w:r>
    </w:p>
    <w:p w14:paraId="3DD70588">
      <w:pPr>
        <w:spacing w:before="120" w:after="120" w:line="360" w:lineRule="auto"/>
        <w:jc w:val="left"/>
        <w:outlineLvl w:val="2"/>
        <w:rPr>
          <w:rFonts w:ascii="宋体" w:hAnsi="宋体" w:eastAsia="宋体"/>
          <w:b/>
          <w:bCs/>
          <w:color w:val="auto"/>
          <w:sz w:val="24"/>
          <w:szCs w:val="24"/>
        </w:rPr>
      </w:pPr>
      <w:bookmarkStart w:id="69" w:name="_Toc244176128"/>
      <w:bookmarkStart w:id="70" w:name="_Toc244176397"/>
      <w:r>
        <w:rPr>
          <w:rFonts w:hint="eastAsia" w:ascii="宋体" w:hAnsi="宋体" w:eastAsia="宋体"/>
          <w:b/>
          <w:bCs/>
          <w:color w:val="auto"/>
          <w:sz w:val="24"/>
          <w:szCs w:val="24"/>
        </w:rPr>
        <w:t>4.1</w:t>
      </w:r>
      <w:r>
        <w:rPr>
          <w:rFonts w:ascii="宋体" w:hAnsi="宋体" w:eastAsia="宋体"/>
          <w:b/>
          <w:bCs/>
          <w:color w:val="auto"/>
          <w:sz w:val="24"/>
          <w:szCs w:val="24"/>
        </w:rPr>
        <w:t>.7</w:t>
      </w:r>
      <w:r>
        <w:rPr>
          <w:rFonts w:hint="eastAsia" w:ascii="宋体" w:hAnsi="宋体" w:eastAsia="宋体"/>
          <w:b/>
          <w:bCs/>
          <w:color w:val="auto"/>
          <w:sz w:val="24"/>
          <w:szCs w:val="24"/>
        </w:rPr>
        <w:t xml:space="preserve"> 门禁装置</w:t>
      </w:r>
      <w:bookmarkEnd w:id="69"/>
      <w:bookmarkEnd w:id="70"/>
    </w:p>
    <w:p w14:paraId="7C5B5765">
      <w:pPr>
        <w:pStyle w:val="8"/>
        <w:topLinePunct/>
        <w:spacing w:line="360" w:lineRule="auto"/>
        <w:ind w:firstLine="480"/>
        <w:rPr>
          <w:color w:val="auto"/>
          <w:sz w:val="24"/>
        </w:rPr>
      </w:pPr>
      <w:r>
        <w:rPr>
          <w:color w:val="auto"/>
          <w:sz w:val="24"/>
        </w:rPr>
        <w:t>配电室门禁系统实现出入口人员权限分级管控，记录出入人员、时间信息，阻挡无关人员擅自进入，发生闯入可触发告警，满足无人值守变电站安防管控需求。</w:t>
      </w:r>
    </w:p>
    <w:p w14:paraId="5734AB3C">
      <w:pPr>
        <w:pStyle w:val="8"/>
        <w:topLinePunct/>
        <w:spacing w:line="360" w:lineRule="auto"/>
        <w:ind w:firstLine="480"/>
        <w:rPr>
          <w:color w:val="auto"/>
          <w:sz w:val="24"/>
        </w:rPr>
      </w:pPr>
      <w:r>
        <w:rPr>
          <w:color w:val="auto"/>
          <w:kern w:val="44"/>
          <w:sz w:val="24"/>
        </w:rPr>
        <w:t>设置电子门锁，由控制器、读卡器、电控锁、出门开关、管理主机、管理软件等组成。日常运行期间只有维修和巡检人员携带经过授权的IC卡才能进入，进行例行巡检和维护，其他人员需要进入时必须得到监控中心值班人员的许可，领取临时制作的IC卡才能进入。这样，一方面可以有效管理无人值守设备间的人员出入，防止无关人员的出入造成意外事件发生；另一方面，还可以记录和检查例行巡检工作的情况。</w:t>
      </w:r>
      <w:r>
        <w:rPr>
          <w:color w:val="auto"/>
          <w:sz w:val="24"/>
        </w:rPr>
        <w:t xml:space="preserve">同时视频摄像头、照明控制进行关联。 </w:t>
      </w:r>
    </w:p>
    <w:p w14:paraId="4DD54204">
      <w:pPr>
        <w:spacing w:before="120" w:after="120" w:line="360" w:lineRule="auto"/>
        <w:jc w:val="left"/>
        <w:outlineLvl w:val="2"/>
        <w:rPr>
          <w:rFonts w:ascii="宋体" w:hAnsi="宋体" w:eastAsia="宋体"/>
          <w:b/>
          <w:bCs/>
          <w:color w:val="auto"/>
          <w:sz w:val="24"/>
          <w:szCs w:val="24"/>
        </w:rPr>
      </w:pPr>
      <w:bookmarkStart w:id="71" w:name="_Toc244176398"/>
      <w:bookmarkStart w:id="72" w:name="_Toc244176129"/>
      <w:r>
        <w:rPr>
          <w:rFonts w:hint="eastAsia" w:ascii="宋体" w:hAnsi="宋体" w:eastAsia="宋体"/>
          <w:b/>
          <w:bCs/>
          <w:color w:val="auto"/>
          <w:sz w:val="24"/>
          <w:szCs w:val="24"/>
        </w:rPr>
        <w:t>4.1</w:t>
      </w:r>
      <w:r>
        <w:rPr>
          <w:rFonts w:ascii="宋体" w:hAnsi="宋体" w:eastAsia="宋体"/>
          <w:b/>
          <w:bCs/>
          <w:color w:val="auto"/>
          <w:sz w:val="24"/>
          <w:szCs w:val="24"/>
        </w:rPr>
        <w:t>.8</w:t>
      </w:r>
      <w:r>
        <w:rPr>
          <w:rFonts w:hint="eastAsia" w:ascii="宋体" w:hAnsi="宋体" w:eastAsia="宋体"/>
          <w:b/>
          <w:bCs/>
          <w:color w:val="auto"/>
          <w:sz w:val="24"/>
          <w:szCs w:val="24"/>
        </w:rPr>
        <w:t xml:space="preserve"> 视频系统</w:t>
      </w:r>
      <w:bookmarkEnd w:id="71"/>
      <w:bookmarkEnd w:id="72"/>
    </w:p>
    <w:p w14:paraId="1187F389">
      <w:pPr>
        <w:spacing w:line="360" w:lineRule="auto"/>
        <w:ind w:left="105" w:leftChars="50"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变电站配电室内安装视频监控子系统实现配电室现场画面实时监视，识别设备异常、人员违规操作，告警信息上传平台，保障配电室运行安全。</w:t>
      </w:r>
    </w:p>
    <w:p w14:paraId="279683F8">
      <w:pPr>
        <w:spacing w:line="360" w:lineRule="auto"/>
        <w:ind w:left="105" w:leftChars="50" w:firstLine="480" w:firstLineChars="200"/>
        <w:rPr>
          <w:rFonts w:ascii="Times New Roman" w:hAnsi="Times New Roman" w:eastAsia="宋体" w:cs="Times New Roman"/>
          <w:color w:val="auto"/>
          <w:sz w:val="24"/>
          <w:szCs w:val="24"/>
        </w:rPr>
      </w:pPr>
      <w:r>
        <w:rPr>
          <w:rFonts w:ascii="Times New Roman" w:hAnsi="Times New Roman" w:eastAsia="宋体" w:cs="Times New Roman"/>
          <w:bCs/>
          <w:color w:val="auto"/>
          <w:kern w:val="21"/>
          <w:sz w:val="24"/>
        </w:rPr>
        <w:drawing>
          <wp:inline distT="0" distB="0" distL="0" distR="0">
            <wp:extent cx="4732020" cy="1993265"/>
            <wp:effectExtent l="0" t="0" r="7620" b="3175"/>
            <wp:docPr id="17" name="Picture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 descr="2"/>
                    <pic:cNvPicPr>
                      <a:picLocks noChangeAspect="1" noChangeArrowheads="1"/>
                    </pic:cNvPicPr>
                  </pic:nvPicPr>
                  <pic:blipFill>
                    <a:blip r:embed="rId16" cstate="print">
                      <a:extLst>
                        <a:ext uri="{28A0092B-C50C-407E-A947-70E740481C1C}">
                          <a14:useLocalDpi xmlns:a14="http://schemas.microsoft.com/office/drawing/2010/main" val="0"/>
                        </a:ext>
                      </a:extLst>
                    </a:blip>
                    <a:srcRect t="3247" b="52051"/>
                    <a:stretch>
                      <a:fillRect/>
                    </a:stretch>
                  </pic:blipFill>
                  <pic:spPr>
                    <a:xfrm>
                      <a:off x="0" y="0"/>
                      <a:ext cx="4739061" cy="1993265"/>
                    </a:xfrm>
                    <a:prstGeom prst="rect">
                      <a:avLst/>
                    </a:prstGeom>
                    <a:noFill/>
                    <a:ln>
                      <a:noFill/>
                    </a:ln>
                  </pic:spPr>
                </pic:pic>
              </a:graphicData>
            </a:graphic>
          </wp:inline>
        </w:drawing>
      </w:r>
    </w:p>
    <w:p w14:paraId="54519995">
      <w:pPr>
        <w:spacing w:line="360" w:lineRule="auto"/>
        <w:ind w:left="105" w:leftChars="50"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灵活设置录像方式，包括24小时录像、预设时间段录像、报警预录像、移动侦测录像以及联动触发录像等多种方式。</w:t>
      </w:r>
    </w:p>
    <w:p w14:paraId="597DD6D3">
      <w:pPr>
        <w:spacing w:line="360" w:lineRule="auto"/>
        <w:ind w:left="105" w:leftChars="50"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录像的方式有两种，一种是只有画面是动态时才进行录像，另一种是静态时进行低分辨率的录像，动态时是高分辨率的录像。按实际需要进行录像。支持历史视频检索回放功能，可根据录像的类型、通道、时间等条件进行检索，回放速度可调。</w:t>
      </w:r>
    </w:p>
    <w:p w14:paraId="4BA7337E">
      <w:pPr>
        <w:spacing w:line="360" w:lineRule="auto"/>
        <w:ind w:left="105" w:leftChars="50"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支持与其它子系统的联动功能，如：门打开或发生防盗报警时联动摄像机进行录像，同时弹出相应的视频画面窗口等。</w:t>
      </w:r>
    </w:p>
    <w:p w14:paraId="698F4608">
      <w:pPr>
        <w:spacing w:before="120" w:after="120" w:line="360" w:lineRule="auto"/>
        <w:jc w:val="left"/>
        <w:outlineLvl w:val="1"/>
        <w:rPr>
          <w:rFonts w:ascii="宋体" w:hAnsi="宋体" w:eastAsia="宋体"/>
          <w:b/>
          <w:bCs/>
          <w:color w:val="auto"/>
          <w:sz w:val="28"/>
          <w:szCs w:val="28"/>
        </w:rPr>
      </w:pPr>
      <w:bookmarkStart w:id="73" w:name="_Toc244176130"/>
      <w:bookmarkStart w:id="74" w:name="_Toc244176399"/>
      <w:r>
        <w:rPr>
          <w:rFonts w:hint="eastAsia" w:ascii="宋体" w:hAnsi="宋体" w:eastAsia="宋体"/>
          <w:b/>
          <w:bCs/>
          <w:color w:val="auto"/>
          <w:sz w:val="28"/>
          <w:szCs w:val="28"/>
        </w:rPr>
        <w:t>4</w:t>
      </w:r>
      <w:r>
        <w:rPr>
          <w:rFonts w:ascii="宋体" w:hAnsi="宋体" w:eastAsia="宋体"/>
          <w:b/>
          <w:bCs/>
          <w:color w:val="auto"/>
          <w:sz w:val="28"/>
          <w:szCs w:val="28"/>
        </w:rPr>
        <w:t>.2</w:t>
      </w:r>
      <w:r>
        <w:rPr>
          <w:rFonts w:hint="eastAsia" w:ascii="宋体" w:hAnsi="宋体" w:eastAsia="宋体"/>
          <w:b/>
          <w:bCs/>
          <w:color w:val="auto"/>
          <w:sz w:val="28"/>
          <w:szCs w:val="28"/>
        </w:rPr>
        <w:t xml:space="preserve"> 智慧电力运维系统</w:t>
      </w:r>
      <w:bookmarkEnd w:id="73"/>
      <w:bookmarkEnd w:id="74"/>
    </w:p>
    <w:p w14:paraId="00DD0BC3">
      <w:pPr>
        <w:spacing w:before="120" w:after="120" w:line="360" w:lineRule="auto"/>
        <w:jc w:val="left"/>
        <w:outlineLvl w:val="2"/>
        <w:rPr>
          <w:rFonts w:ascii="宋体" w:hAnsi="宋体" w:eastAsia="宋体"/>
          <w:b/>
          <w:bCs/>
          <w:color w:val="auto"/>
          <w:sz w:val="24"/>
          <w:szCs w:val="24"/>
        </w:rPr>
      </w:pPr>
      <w:bookmarkStart w:id="75" w:name="_Toc238818759"/>
      <w:bookmarkStart w:id="76" w:name="_Toc244176131"/>
      <w:bookmarkStart w:id="77" w:name="_Toc244176400"/>
      <w:r>
        <w:rPr>
          <w:rFonts w:hint="eastAsia" w:ascii="宋体" w:hAnsi="宋体" w:eastAsia="宋体"/>
          <w:b/>
          <w:bCs/>
          <w:color w:val="auto"/>
          <w:sz w:val="24"/>
          <w:szCs w:val="24"/>
        </w:rPr>
        <w:t>4</w:t>
      </w:r>
      <w:r>
        <w:rPr>
          <w:rFonts w:ascii="宋体" w:hAnsi="宋体" w:eastAsia="宋体"/>
          <w:b/>
          <w:bCs/>
          <w:color w:val="auto"/>
          <w:sz w:val="24"/>
          <w:szCs w:val="24"/>
        </w:rPr>
        <w:t>.2.1大屏全景展示</w:t>
      </w:r>
      <w:bookmarkEnd w:id="75"/>
      <w:bookmarkEnd w:id="76"/>
      <w:bookmarkEnd w:id="77"/>
    </w:p>
    <w:p w14:paraId="3B18F43C">
      <w:pPr>
        <w:spacing w:line="360" w:lineRule="auto"/>
        <w:ind w:firstLine="480" w:firstLineChars="200"/>
        <w:jc w:val="lef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通过LCD可视化大屏，直观展示园区电力运行全貌、</w:t>
      </w:r>
      <w:r>
        <w:rPr>
          <w:rFonts w:hint="eastAsia" w:ascii="Times New Roman" w:hAnsi="Times New Roman" w:eastAsia="宋体" w:cs="Times New Roman"/>
          <w:color w:val="auto"/>
          <w:sz w:val="24"/>
          <w:szCs w:val="24"/>
        </w:rPr>
        <w:t>每</w:t>
      </w:r>
      <w:r>
        <w:rPr>
          <w:rFonts w:ascii="Times New Roman" w:hAnsi="Times New Roman" w:eastAsia="宋体" w:cs="Times New Roman"/>
          <w:color w:val="auto"/>
          <w:sz w:val="24"/>
          <w:szCs w:val="24"/>
        </w:rPr>
        <w:t>个配电室运行状态、用电</w:t>
      </w:r>
      <w:r>
        <w:rPr>
          <w:rFonts w:hint="eastAsia" w:ascii="Times New Roman" w:hAnsi="Times New Roman" w:eastAsia="宋体" w:cs="Times New Roman"/>
          <w:color w:val="auto"/>
          <w:sz w:val="24"/>
          <w:szCs w:val="24"/>
        </w:rPr>
        <w:t>数据、电气参数</w:t>
      </w:r>
      <w:r>
        <w:rPr>
          <w:rFonts w:ascii="Times New Roman" w:hAnsi="Times New Roman" w:eastAsia="宋体" w:cs="Times New Roman"/>
          <w:color w:val="auto"/>
          <w:sz w:val="24"/>
          <w:szCs w:val="24"/>
        </w:rPr>
        <w:t>等关键数据。图标热点设置，点击任意站点图标，可跳转到配电室查看相应电气参数。</w:t>
      </w:r>
    </w:p>
    <w:p w14:paraId="256D671A">
      <w:pPr>
        <w:spacing w:before="120" w:after="120" w:line="360" w:lineRule="auto"/>
        <w:jc w:val="left"/>
        <w:outlineLvl w:val="2"/>
        <w:rPr>
          <w:rFonts w:ascii="宋体" w:hAnsi="宋体" w:eastAsia="宋体"/>
          <w:b/>
          <w:bCs/>
          <w:color w:val="auto"/>
          <w:sz w:val="24"/>
          <w:szCs w:val="24"/>
        </w:rPr>
      </w:pPr>
      <w:bookmarkStart w:id="78" w:name="_Toc238818760"/>
      <w:bookmarkStart w:id="79" w:name="_Toc244176132"/>
      <w:bookmarkStart w:id="80" w:name="_Toc244176401"/>
      <w:r>
        <w:rPr>
          <w:rFonts w:hint="eastAsia" w:ascii="宋体" w:hAnsi="宋体" w:eastAsia="宋体"/>
          <w:b/>
          <w:bCs/>
          <w:color w:val="auto"/>
          <w:sz w:val="24"/>
          <w:szCs w:val="24"/>
        </w:rPr>
        <w:t>4</w:t>
      </w:r>
      <w:r>
        <w:rPr>
          <w:rFonts w:ascii="宋体" w:hAnsi="宋体" w:eastAsia="宋体"/>
          <w:b/>
          <w:bCs/>
          <w:color w:val="auto"/>
          <w:sz w:val="24"/>
          <w:szCs w:val="24"/>
        </w:rPr>
        <w:t>.2.2 3D实景扫描</w:t>
      </w:r>
      <w:bookmarkEnd w:id="78"/>
      <w:bookmarkEnd w:id="79"/>
      <w:bookmarkEnd w:id="80"/>
    </w:p>
    <w:p w14:paraId="711911B5">
      <w:pPr>
        <w:spacing w:line="360" w:lineRule="auto"/>
        <w:ind w:firstLine="420"/>
        <w:jc w:val="lef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通过3D扫描完成变电站主变、GIS和配电室内开关柜的VR实景建模，构建站内实景三维数字场景。可还原设备真实空间布局、设备外观、电缆走向与设备相对位置关系，实现变电站实景可视化展示。运维人员可远程在三维场景内浏览设备，关联接入智能巡检、在线监测、设备台账数据，点击设备即可调取运行参数、缺陷记录、检修履历。有效弥补现场巡检盲区，减少人员进入高危作业区域频次，降低现场作业安全风险。同时为设备缺陷分析、检修方案制定、人员培训、应急推演提供实景支撑，提升变电站运维工作效率，强化变电站安全管理与数字化管控水平。</w:t>
      </w:r>
    </w:p>
    <w:p w14:paraId="74331552">
      <w:pPr>
        <w:spacing w:before="120" w:after="120" w:line="360" w:lineRule="auto"/>
        <w:jc w:val="left"/>
        <w:outlineLvl w:val="2"/>
        <w:rPr>
          <w:rFonts w:ascii="宋体" w:hAnsi="宋体" w:eastAsia="宋体"/>
          <w:b/>
          <w:bCs/>
          <w:color w:val="auto"/>
          <w:sz w:val="24"/>
          <w:szCs w:val="24"/>
        </w:rPr>
      </w:pPr>
      <w:bookmarkStart w:id="81" w:name="_Toc244176133"/>
      <w:bookmarkStart w:id="82" w:name="_Toc244176402"/>
      <w:bookmarkStart w:id="83" w:name="_Toc238818762"/>
      <w:bookmarkStart w:id="84" w:name="_Toc135680817"/>
      <w:bookmarkStart w:id="85" w:name="_Toc135496052"/>
      <w:r>
        <w:rPr>
          <w:rFonts w:hint="eastAsia" w:ascii="宋体" w:hAnsi="宋体" w:eastAsia="宋体"/>
          <w:b/>
          <w:bCs/>
          <w:color w:val="auto"/>
          <w:sz w:val="24"/>
          <w:szCs w:val="24"/>
        </w:rPr>
        <w:t>4</w:t>
      </w:r>
      <w:r>
        <w:rPr>
          <w:rFonts w:ascii="宋体" w:hAnsi="宋体" w:eastAsia="宋体"/>
          <w:b/>
          <w:bCs/>
          <w:color w:val="auto"/>
          <w:sz w:val="24"/>
          <w:szCs w:val="24"/>
        </w:rPr>
        <w:t>.2.3电力实时监测</w:t>
      </w:r>
      <w:bookmarkEnd w:id="81"/>
      <w:bookmarkEnd w:id="82"/>
      <w:bookmarkEnd w:id="83"/>
    </w:p>
    <w:p w14:paraId="4ED8466C">
      <w:pPr>
        <w:spacing w:line="360" w:lineRule="auto"/>
        <w:ind w:firstLine="480" w:firstLineChars="200"/>
        <w:jc w:val="lef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对变电站、配电</w:t>
      </w:r>
      <w:r>
        <w:rPr>
          <w:rFonts w:hint="eastAsia" w:ascii="Times New Roman" w:hAnsi="Times New Roman" w:eastAsia="宋体" w:cs="Times New Roman"/>
          <w:color w:val="auto"/>
          <w:sz w:val="24"/>
          <w:szCs w:val="24"/>
        </w:rPr>
        <w:t>室</w:t>
      </w:r>
      <w:r>
        <w:rPr>
          <w:rFonts w:ascii="Times New Roman" w:hAnsi="Times New Roman" w:eastAsia="宋体" w:cs="Times New Roman"/>
          <w:color w:val="auto"/>
          <w:sz w:val="24"/>
          <w:szCs w:val="24"/>
        </w:rPr>
        <w:t>、光伏站的运行状态、电气参数进行24小时实时监测。显示变电站各回路的电力数据和曲线，包括电流、相电压、线电压、频率、功率因数、有功功率、无功功率、视在功率等参数，并可导出图表。</w:t>
      </w:r>
    </w:p>
    <w:p w14:paraId="1EF9A23E">
      <w:pPr>
        <w:spacing w:before="120" w:after="120" w:line="360" w:lineRule="auto"/>
        <w:jc w:val="left"/>
        <w:outlineLvl w:val="2"/>
        <w:rPr>
          <w:rFonts w:ascii="宋体" w:hAnsi="宋体" w:eastAsia="宋体"/>
          <w:b/>
          <w:bCs/>
          <w:color w:val="auto"/>
          <w:sz w:val="24"/>
          <w:szCs w:val="24"/>
        </w:rPr>
      </w:pPr>
      <w:bookmarkStart w:id="86" w:name="_Toc244176403"/>
      <w:bookmarkStart w:id="87" w:name="_Toc238818763"/>
      <w:bookmarkStart w:id="88" w:name="_Toc244176134"/>
      <w:r>
        <w:rPr>
          <w:rFonts w:hint="eastAsia" w:ascii="宋体" w:hAnsi="宋体" w:eastAsia="宋体"/>
          <w:b/>
          <w:bCs/>
          <w:color w:val="auto"/>
          <w:sz w:val="24"/>
          <w:szCs w:val="24"/>
        </w:rPr>
        <w:t>4</w:t>
      </w:r>
      <w:r>
        <w:rPr>
          <w:rFonts w:ascii="宋体" w:hAnsi="宋体" w:eastAsia="宋体"/>
          <w:b/>
          <w:bCs/>
          <w:color w:val="auto"/>
          <w:sz w:val="24"/>
          <w:szCs w:val="24"/>
        </w:rPr>
        <w:t>.2.4电气接线图</w:t>
      </w:r>
      <w:bookmarkEnd w:id="86"/>
      <w:bookmarkEnd w:id="87"/>
      <w:bookmarkEnd w:id="88"/>
    </w:p>
    <w:p w14:paraId="69D1EF60">
      <w:pPr>
        <w:spacing w:line="360" w:lineRule="auto"/>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系统</w:t>
      </w:r>
      <w:r>
        <w:rPr>
          <w:rFonts w:hint="eastAsia" w:ascii="Times New Roman" w:hAnsi="Times New Roman" w:eastAsia="宋体" w:cs="Times New Roman"/>
          <w:color w:val="auto"/>
          <w:sz w:val="24"/>
          <w:szCs w:val="24"/>
        </w:rPr>
        <w:t>可以</w:t>
      </w:r>
      <w:r>
        <w:rPr>
          <w:rFonts w:ascii="Times New Roman" w:hAnsi="Times New Roman" w:eastAsia="宋体" w:cs="Times New Roman"/>
          <w:color w:val="auto"/>
          <w:sz w:val="24"/>
          <w:szCs w:val="24"/>
        </w:rPr>
        <w:t>直观展示一次系统主接线图及设备运行状态，实现电网运行工况实时监控与快速研判。支持点击任意支路可跳转到对应支路一次系统图，并实时呈现该支路电气参数信息。</w:t>
      </w:r>
    </w:p>
    <w:p w14:paraId="35D92153">
      <w:pPr>
        <w:spacing w:before="120" w:after="120" w:line="360" w:lineRule="auto"/>
        <w:jc w:val="left"/>
        <w:outlineLvl w:val="2"/>
        <w:rPr>
          <w:rFonts w:ascii="宋体" w:hAnsi="宋体" w:eastAsia="宋体"/>
          <w:b/>
          <w:bCs/>
          <w:color w:val="auto"/>
          <w:sz w:val="24"/>
          <w:szCs w:val="24"/>
        </w:rPr>
      </w:pPr>
      <w:bookmarkStart w:id="89" w:name="_Toc244176135"/>
      <w:bookmarkStart w:id="90" w:name="_Toc244176404"/>
      <w:bookmarkStart w:id="91" w:name="_Toc238818764"/>
      <w:r>
        <w:rPr>
          <w:rFonts w:hint="eastAsia" w:ascii="宋体" w:hAnsi="宋体" w:eastAsia="宋体"/>
          <w:b/>
          <w:bCs/>
          <w:color w:val="auto"/>
          <w:sz w:val="24"/>
          <w:szCs w:val="24"/>
        </w:rPr>
        <w:t>4</w:t>
      </w:r>
      <w:r>
        <w:rPr>
          <w:rFonts w:ascii="宋体" w:hAnsi="宋体" w:eastAsia="宋体"/>
          <w:b/>
          <w:bCs/>
          <w:color w:val="auto"/>
          <w:sz w:val="24"/>
          <w:szCs w:val="24"/>
        </w:rPr>
        <w:t>.2.5重点设备监测</w:t>
      </w:r>
      <w:bookmarkEnd w:id="89"/>
      <w:bookmarkEnd w:id="90"/>
      <w:bookmarkEnd w:id="91"/>
    </w:p>
    <w:p w14:paraId="65E032C2">
      <w:pPr>
        <w:spacing w:line="360" w:lineRule="auto"/>
        <w:jc w:val="lef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对变电站内的变压器、断路器、逆变器、SVG等重点设备的运行状态、温度、电流、电压等电气参数进行远程实时监控，可随时掌握设备运行状况，及时发现过载、过热、异常波动等隐患，避免故障扩大引发停电或设备损坏。提升运维效率，减少现场巡检，提前发现问题。</w:t>
      </w:r>
    </w:p>
    <w:p w14:paraId="7BE277D0">
      <w:pPr>
        <w:spacing w:before="120" w:after="120" w:line="360" w:lineRule="auto"/>
        <w:jc w:val="left"/>
        <w:outlineLvl w:val="2"/>
        <w:rPr>
          <w:rFonts w:ascii="宋体" w:hAnsi="宋体" w:eastAsia="宋体"/>
          <w:b/>
          <w:bCs/>
          <w:color w:val="auto"/>
          <w:sz w:val="24"/>
          <w:szCs w:val="24"/>
        </w:rPr>
      </w:pPr>
      <w:bookmarkStart w:id="92" w:name="_Toc238818765"/>
      <w:bookmarkStart w:id="93" w:name="_Toc244176136"/>
      <w:bookmarkStart w:id="94" w:name="_Toc244176405"/>
      <w:r>
        <w:rPr>
          <w:rFonts w:hint="eastAsia" w:ascii="宋体" w:hAnsi="宋体" w:eastAsia="宋体"/>
          <w:b/>
          <w:bCs/>
          <w:color w:val="auto"/>
          <w:sz w:val="24"/>
          <w:szCs w:val="24"/>
        </w:rPr>
        <w:t>4</w:t>
      </w:r>
      <w:r>
        <w:rPr>
          <w:rFonts w:ascii="宋体" w:hAnsi="宋体" w:eastAsia="宋体"/>
          <w:b/>
          <w:bCs/>
          <w:color w:val="auto"/>
          <w:sz w:val="24"/>
          <w:szCs w:val="24"/>
        </w:rPr>
        <w:t>.2.6能耗总览</w:t>
      </w:r>
      <w:bookmarkEnd w:id="92"/>
      <w:bookmarkEnd w:id="93"/>
      <w:bookmarkEnd w:id="94"/>
    </w:p>
    <w:p w14:paraId="3A1B5070">
      <w:pPr>
        <w:spacing w:line="360" w:lineRule="auto"/>
        <w:jc w:val="lef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系统具备能耗总览功能，通过能流图、柱状图等可视化形式直观展示用电分布、能耗流向与用能数据，实现全局能耗状况的清晰监测与统一管控。</w:t>
      </w:r>
    </w:p>
    <w:p w14:paraId="527E8D37">
      <w:pPr>
        <w:spacing w:before="120" w:after="120" w:line="360" w:lineRule="auto"/>
        <w:jc w:val="left"/>
        <w:outlineLvl w:val="2"/>
        <w:rPr>
          <w:rFonts w:ascii="宋体" w:hAnsi="宋体" w:eastAsia="宋体"/>
          <w:b/>
          <w:bCs/>
          <w:color w:val="auto"/>
          <w:sz w:val="24"/>
          <w:szCs w:val="24"/>
        </w:rPr>
      </w:pPr>
      <w:bookmarkStart w:id="95" w:name="_Toc238818766"/>
      <w:bookmarkStart w:id="96" w:name="_Toc244176406"/>
      <w:bookmarkStart w:id="97" w:name="_Toc244176137"/>
      <w:r>
        <w:rPr>
          <w:rFonts w:hint="eastAsia" w:ascii="宋体" w:hAnsi="宋体" w:eastAsia="宋体"/>
          <w:b/>
          <w:bCs/>
          <w:color w:val="auto"/>
          <w:sz w:val="24"/>
          <w:szCs w:val="24"/>
        </w:rPr>
        <w:t>4</w:t>
      </w:r>
      <w:r>
        <w:rPr>
          <w:rFonts w:ascii="宋体" w:hAnsi="宋体" w:eastAsia="宋体"/>
          <w:b/>
          <w:bCs/>
          <w:color w:val="auto"/>
          <w:sz w:val="24"/>
          <w:szCs w:val="24"/>
        </w:rPr>
        <w:t>.2.7用能分析</w:t>
      </w:r>
      <w:bookmarkEnd w:id="95"/>
      <w:bookmarkEnd w:id="96"/>
      <w:bookmarkEnd w:id="97"/>
    </w:p>
    <w:p w14:paraId="5BFC6AE5">
      <w:pPr>
        <w:spacing w:line="360" w:lineRule="auto"/>
        <w:jc w:val="lef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用电分析包括同比分析、环比分析、远程抄表、计量及分时用电。支持任意时段电能同比、环比及排名分析，用电重点和异常点一目了然。</w:t>
      </w:r>
    </w:p>
    <w:p w14:paraId="7D9DACF4">
      <w:pPr>
        <w:spacing w:before="120" w:after="120" w:line="360" w:lineRule="auto"/>
        <w:jc w:val="left"/>
        <w:outlineLvl w:val="2"/>
        <w:rPr>
          <w:rFonts w:ascii="宋体" w:hAnsi="宋体" w:eastAsia="宋体"/>
          <w:b/>
          <w:bCs/>
          <w:color w:val="auto"/>
          <w:sz w:val="24"/>
          <w:szCs w:val="24"/>
        </w:rPr>
      </w:pPr>
      <w:bookmarkStart w:id="98" w:name="_Toc244176138"/>
      <w:bookmarkStart w:id="99" w:name="_Toc238818767"/>
      <w:bookmarkStart w:id="100" w:name="_Toc244176407"/>
      <w:r>
        <w:rPr>
          <w:rFonts w:hint="eastAsia" w:ascii="宋体" w:hAnsi="宋体" w:eastAsia="宋体"/>
          <w:b/>
          <w:bCs/>
          <w:color w:val="auto"/>
          <w:sz w:val="24"/>
          <w:szCs w:val="24"/>
        </w:rPr>
        <w:t>4</w:t>
      </w:r>
      <w:r>
        <w:rPr>
          <w:rFonts w:ascii="宋体" w:hAnsi="宋体" w:eastAsia="宋体"/>
          <w:b/>
          <w:bCs/>
          <w:color w:val="auto"/>
          <w:sz w:val="24"/>
          <w:szCs w:val="24"/>
        </w:rPr>
        <w:t>.2.8电能质量监测</w:t>
      </w:r>
      <w:bookmarkEnd w:id="98"/>
      <w:bookmarkEnd w:id="99"/>
      <w:bookmarkEnd w:id="100"/>
    </w:p>
    <w:p w14:paraId="3211E657">
      <w:pPr>
        <w:spacing w:line="360" w:lineRule="auto"/>
        <w:jc w:val="lef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具有电能质量实时评估、三相不平衡分析功能。对电能质量数据进行平台化展示，实时查询系统的电压、频率、功率因数等影响因子，并给予评分。对采集到的电能质量因子进行雷达图展示，对标系统指标，生成评估报告。</w:t>
      </w:r>
    </w:p>
    <w:p w14:paraId="1DDEB1CE">
      <w:pPr>
        <w:spacing w:before="120" w:after="120" w:line="360" w:lineRule="auto"/>
        <w:jc w:val="left"/>
        <w:outlineLvl w:val="2"/>
        <w:rPr>
          <w:rFonts w:ascii="宋体" w:hAnsi="宋体" w:eastAsia="宋体"/>
          <w:b/>
          <w:bCs/>
          <w:color w:val="auto"/>
          <w:sz w:val="24"/>
          <w:szCs w:val="24"/>
        </w:rPr>
      </w:pPr>
      <w:bookmarkStart w:id="101" w:name="_Toc244176408"/>
      <w:bookmarkStart w:id="102" w:name="_Toc244176139"/>
      <w:r>
        <w:rPr>
          <w:rFonts w:hint="eastAsia" w:ascii="宋体" w:hAnsi="宋体" w:eastAsia="宋体"/>
          <w:b/>
          <w:bCs/>
          <w:color w:val="auto"/>
          <w:sz w:val="24"/>
          <w:szCs w:val="24"/>
        </w:rPr>
        <w:t>4</w:t>
      </w:r>
      <w:r>
        <w:rPr>
          <w:rFonts w:ascii="宋体" w:hAnsi="宋体" w:eastAsia="宋体"/>
          <w:b/>
          <w:bCs/>
          <w:color w:val="auto"/>
          <w:sz w:val="24"/>
          <w:szCs w:val="24"/>
        </w:rPr>
        <w:t>.2.9</w:t>
      </w:r>
      <w:r>
        <w:rPr>
          <w:rFonts w:hint="eastAsia" w:ascii="宋体" w:hAnsi="宋体" w:eastAsia="宋体"/>
          <w:b/>
          <w:bCs/>
          <w:color w:val="auto"/>
          <w:sz w:val="24"/>
          <w:szCs w:val="24"/>
        </w:rPr>
        <w:t>定值</w:t>
      </w:r>
      <w:r>
        <w:rPr>
          <w:rFonts w:ascii="宋体" w:hAnsi="宋体" w:eastAsia="宋体"/>
          <w:b/>
          <w:bCs/>
          <w:color w:val="auto"/>
          <w:sz w:val="24"/>
          <w:szCs w:val="24"/>
        </w:rPr>
        <w:t>管理</w:t>
      </w:r>
      <w:bookmarkEnd w:id="101"/>
      <w:bookmarkEnd w:id="102"/>
    </w:p>
    <w:p w14:paraId="3EF0CD7B">
      <w:pPr>
        <w:widowControl/>
        <w:spacing w:line="360" w:lineRule="auto"/>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定值管理能够协助用户提升供电质量。</w:t>
      </w:r>
      <w:r>
        <w:rPr>
          <w:rFonts w:ascii="宋体" w:hAnsi="宋体" w:eastAsia="宋体" w:cs="宋体"/>
          <w:color w:val="auto"/>
          <w:kern w:val="0"/>
          <w:sz w:val="24"/>
          <w:szCs w:val="24"/>
        </w:rPr>
        <w:t xml:space="preserve"> 现场设备厂家</w:t>
      </w:r>
      <w:r>
        <w:rPr>
          <w:rFonts w:hint="eastAsia" w:ascii="宋体" w:hAnsi="宋体" w:eastAsia="宋体" w:cs="宋体"/>
          <w:color w:val="auto"/>
          <w:kern w:val="0"/>
          <w:sz w:val="24"/>
          <w:szCs w:val="24"/>
        </w:rPr>
        <w:t>较</w:t>
      </w:r>
      <w:r>
        <w:rPr>
          <w:rFonts w:ascii="宋体" w:hAnsi="宋体" w:eastAsia="宋体" w:cs="宋体"/>
          <w:color w:val="auto"/>
          <w:kern w:val="0"/>
          <w:sz w:val="24"/>
          <w:szCs w:val="24"/>
        </w:rPr>
        <w:t>多，各家保护</w:t>
      </w:r>
      <w:r>
        <w:rPr>
          <w:rFonts w:hint="eastAsia" w:ascii="宋体" w:hAnsi="宋体" w:eastAsia="宋体" w:cs="宋体"/>
          <w:color w:val="auto"/>
          <w:kern w:val="0"/>
          <w:sz w:val="24"/>
          <w:szCs w:val="24"/>
        </w:rPr>
        <w:t>装置定值</w:t>
      </w:r>
      <w:r>
        <w:rPr>
          <w:rFonts w:ascii="宋体" w:hAnsi="宋体" w:eastAsia="宋体" w:cs="宋体"/>
          <w:color w:val="auto"/>
          <w:kern w:val="0"/>
          <w:sz w:val="24"/>
          <w:szCs w:val="24"/>
        </w:rPr>
        <w:t>输入方法不统一，</w:t>
      </w:r>
      <w:r>
        <w:rPr>
          <w:rFonts w:hint="eastAsia" w:ascii="宋体" w:hAnsi="宋体" w:eastAsia="宋体" w:cs="宋体"/>
          <w:color w:val="auto"/>
          <w:kern w:val="0"/>
          <w:sz w:val="24"/>
          <w:szCs w:val="24"/>
        </w:rPr>
        <w:t>系统</w:t>
      </w:r>
      <w:r>
        <w:rPr>
          <w:rFonts w:ascii="宋体" w:hAnsi="宋体" w:eastAsia="宋体" w:cs="宋体"/>
          <w:color w:val="auto"/>
          <w:kern w:val="0"/>
          <w:sz w:val="24"/>
          <w:szCs w:val="24"/>
        </w:rPr>
        <w:t>可实现定值远程下发，降低运维人员工作难度，提高运维人员工作效率</w:t>
      </w:r>
      <w:r>
        <w:rPr>
          <w:rFonts w:hint="eastAsia" w:ascii="宋体" w:hAnsi="宋体" w:eastAsia="宋体" w:cs="宋体"/>
          <w:color w:val="auto"/>
          <w:kern w:val="0"/>
          <w:sz w:val="24"/>
          <w:szCs w:val="24"/>
        </w:rPr>
        <w:t>。实现了变电站</w:t>
      </w:r>
      <w:r>
        <w:rPr>
          <w:rFonts w:ascii="宋体" w:hAnsi="宋体" w:eastAsia="宋体" w:cs="宋体"/>
          <w:color w:val="auto"/>
          <w:kern w:val="0"/>
          <w:sz w:val="24"/>
          <w:szCs w:val="24"/>
        </w:rPr>
        <w:t>定值集中管控。</w:t>
      </w:r>
    </w:p>
    <w:p w14:paraId="30F429D1">
      <w:pPr>
        <w:spacing w:line="360" w:lineRule="auto"/>
        <w:jc w:val="left"/>
        <w:rPr>
          <w:rFonts w:ascii="Times New Roman" w:hAnsi="Times New Roman" w:eastAsia="宋体" w:cs="Times New Roman"/>
          <w:color w:val="auto"/>
          <w:sz w:val="24"/>
          <w:szCs w:val="24"/>
        </w:rPr>
      </w:pPr>
    </w:p>
    <w:p w14:paraId="73BE6C6C">
      <w:pPr>
        <w:spacing w:before="120" w:after="120" w:line="360" w:lineRule="auto"/>
        <w:jc w:val="left"/>
        <w:outlineLvl w:val="2"/>
        <w:rPr>
          <w:rFonts w:ascii="宋体" w:hAnsi="宋体" w:eastAsia="宋体"/>
          <w:b/>
          <w:bCs/>
          <w:color w:val="auto"/>
          <w:sz w:val="24"/>
          <w:szCs w:val="24"/>
        </w:rPr>
      </w:pPr>
      <w:bookmarkStart w:id="103" w:name="_Toc238818768"/>
      <w:bookmarkStart w:id="104" w:name="_Toc244176140"/>
      <w:bookmarkStart w:id="105" w:name="_Toc244176409"/>
      <w:r>
        <w:rPr>
          <w:rFonts w:hint="eastAsia" w:ascii="宋体" w:hAnsi="宋体" w:eastAsia="宋体"/>
          <w:b/>
          <w:bCs/>
          <w:color w:val="auto"/>
          <w:sz w:val="24"/>
          <w:szCs w:val="24"/>
        </w:rPr>
        <w:t>4</w:t>
      </w:r>
      <w:r>
        <w:rPr>
          <w:rFonts w:ascii="宋体" w:hAnsi="宋体" w:eastAsia="宋体"/>
          <w:b/>
          <w:bCs/>
          <w:color w:val="auto"/>
          <w:sz w:val="24"/>
          <w:szCs w:val="24"/>
        </w:rPr>
        <w:t>.2.10用能实时查询</w:t>
      </w:r>
      <w:bookmarkEnd w:id="103"/>
      <w:bookmarkEnd w:id="104"/>
      <w:bookmarkEnd w:id="105"/>
    </w:p>
    <w:p w14:paraId="6B525CC0">
      <w:pPr>
        <w:spacing w:line="360" w:lineRule="auto"/>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可以</w:t>
      </w:r>
      <w:r>
        <w:rPr>
          <w:rFonts w:ascii="Times New Roman" w:hAnsi="Times New Roman" w:eastAsia="宋体" w:cs="Times New Roman"/>
          <w:color w:val="auto"/>
          <w:sz w:val="24"/>
          <w:szCs w:val="24"/>
        </w:rPr>
        <w:t>灵活配置支路、分项、部门用能，配置后一键选择，即可清晰直观看到该支项的用电量累计、今日昨日用能曲线、占比、日月年用能统计查询等。为园区建立用电预测、计划、考核等一整套完善的管理体系，使变电站实现电能使用的全面可视化。</w:t>
      </w:r>
    </w:p>
    <w:p w14:paraId="0D9A3384">
      <w:pPr>
        <w:spacing w:line="360" w:lineRule="auto"/>
        <w:rPr>
          <w:rFonts w:ascii="Times New Roman" w:hAnsi="Times New Roman" w:eastAsia="宋体" w:cs="Times New Roman"/>
          <w:color w:val="auto"/>
          <w:sz w:val="24"/>
          <w:szCs w:val="24"/>
        </w:rPr>
      </w:pPr>
    </w:p>
    <w:p w14:paraId="39EAE6FF">
      <w:pPr>
        <w:spacing w:before="120" w:after="120" w:line="360" w:lineRule="auto"/>
        <w:jc w:val="left"/>
        <w:outlineLvl w:val="2"/>
        <w:rPr>
          <w:rFonts w:ascii="宋体" w:hAnsi="宋体" w:eastAsia="宋体"/>
          <w:b/>
          <w:bCs/>
          <w:color w:val="auto"/>
          <w:sz w:val="24"/>
          <w:szCs w:val="24"/>
        </w:rPr>
      </w:pPr>
      <w:bookmarkStart w:id="106" w:name="_Toc244176410"/>
      <w:bookmarkStart w:id="107" w:name="_Toc238818769"/>
      <w:bookmarkStart w:id="108" w:name="_Toc244176141"/>
      <w:r>
        <w:rPr>
          <w:rFonts w:hint="eastAsia" w:ascii="宋体" w:hAnsi="宋体" w:eastAsia="宋体"/>
          <w:b/>
          <w:bCs/>
          <w:color w:val="auto"/>
          <w:sz w:val="24"/>
          <w:szCs w:val="24"/>
        </w:rPr>
        <w:t>4</w:t>
      </w:r>
      <w:r>
        <w:rPr>
          <w:rFonts w:ascii="宋体" w:hAnsi="宋体" w:eastAsia="宋体"/>
          <w:b/>
          <w:bCs/>
          <w:color w:val="auto"/>
          <w:sz w:val="24"/>
          <w:szCs w:val="24"/>
        </w:rPr>
        <w:t>.2.11用能报表</w:t>
      </w:r>
      <w:bookmarkEnd w:id="106"/>
      <w:bookmarkEnd w:id="107"/>
      <w:bookmarkEnd w:id="108"/>
    </w:p>
    <w:p w14:paraId="03AC88AD">
      <w:pPr>
        <w:spacing w:line="360" w:lineRule="auto"/>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系统可根据用户需求，按照支路、分项、部门等对用能数据进行累加，按日、月、年以及用户自定义时间段，可查阅到用能日报表、月报表，年报表。各时间段和支路用能情况一张报表体现，清晰直观。</w:t>
      </w:r>
    </w:p>
    <w:p w14:paraId="0D0405A1">
      <w:pPr>
        <w:spacing w:line="360" w:lineRule="auto"/>
        <w:jc w:val="center"/>
        <w:rPr>
          <w:rFonts w:ascii="Times New Roman" w:hAnsi="Times New Roman" w:eastAsia="宋体" w:cs="Times New Roman"/>
          <w:color w:val="auto"/>
          <w:sz w:val="24"/>
          <w:szCs w:val="24"/>
        </w:rPr>
      </w:pPr>
    </w:p>
    <w:p w14:paraId="4AD613D8">
      <w:pPr>
        <w:spacing w:before="120" w:after="120" w:line="360" w:lineRule="auto"/>
        <w:jc w:val="left"/>
        <w:outlineLvl w:val="2"/>
        <w:rPr>
          <w:rFonts w:ascii="宋体" w:hAnsi="宋体" w:eastAsia="宋体"/>
          <w:b/>
          <w:bCs/>
          <w:color w:val="auto"/>
          <w:sz w:val="24"/>
          <w:szCs w:val="24"/>
        </w:rPr>
      </w:pPr>
      <w:bookmarkStart w:id="109" w:name="_Toc244176411"/>
      <w:bookmarkStart w:id="110" w:name="_Toc244176142"/>
      <w:bookmarkStart w:id="111" w:name="_Toc238818770"/>
      <w:r>
        <w:rPr>
          <w:rFonts w:hint="eastAsia" w:ascii="宋体" w:hAnsi="宋体" w:eastAsia="宋体"/>
          <w:b/>
          <w:bCs/>
          <w:color w:val="auto"/>
          <w:sz w:val="24"/>
          <w:szCs w:val="24"/>
        </w:rPr>
        <w:t>4</w:t>
      </w:r>
      <w:r>
        <w:rPr>
          <w:rFonts w:ascii="宋体" w:hAnsi="宋体" w:eastAsia="宋体"/>
          <w:b/>
          <w:bCs/>
          <w:color w:val="auto"/>
          <w:sz w:val="24"/>
          <w:szCs w:val="24"/>
        </w:rPr>
        <w:t>.2.12告警管理</w:t>
      </w:r>
      <w:bookmarkEnd w:id="109"/>
      <w:bookmarkEnd w:id="110"/>
      <w:bookmarkEnd w:id="111"/>
    </w:p>
    <w:p w14:paraId="11C41D10">
      <w:pPr>
        <w:spacing w:line="360" w:lineRule="auto"/>
        <w:jc w:val="lef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实现对变电站内各类告警信息的统计和管理。实现即时告警，精准定位。告警信息可设定等级，可分组/分区。不同的告警可设定通知给不同的用户。告警通知支持语音、APP通知等方式。客户可根据故障分析结果，给出处理措施。</w:t>
      </w:r>
    </w:p>
    <w:p w14:paraId="350F59EF">
      <w:pPr>
        <w:rPr>
          <w:rFonts w:ascii="Times New Roman" w:hAnsi="Times New Roman" w:eastAsia="宋体" w:cs="Times New Roman"/>
          <w:color w:val="auto"/>
          <w:sz w:val="24"/>
          <w:szCs w:val="24"/>
        </w:rPr>
      </w:pPr>
    </w:p>
    <w:p w14:paraId="28F9FDF1">
      <w:pPr>
        <w:spacing w:before="120" w:after="120" w:line="360" w:lineRule="auto"/>
        <w:jc w:val="left"/>
        <w:outlineLvl w:val="2"/>
        <w:rPr>
          <w:rFonts w:ascii="宋体" w:hAnsi="宋体" w:eastAsia="宋体"/>
          <w:b/>
          <w:bCs/>
          <w:color w:val="auto"/>
          <w:sz w:val="24"/>
          <w:szCs w:val="24"/>
        </w:rPr>
      </w:pPr>
      <w:bookmarkStart w:id="112" w:name="_Toc244176143"/>
      <w:bookmarkStart w:id="113" w:name="_Toc238818771"/>
      <w:bookmarkStart w:id="114" w:name="_Toc244176412"/>
      <w:r>
        <w:rPr>
          <w:rFonts w:hint="eastAsia" w:ascii="宋体" w:hAnsi="宋体" w:eastAsia="宋体"/>
          <w:b/>
          <w:bCs/>
          <w:color w:val="auto"/>
          <w:sz w:val="24"/>
          <w:szCs w:val="24"/>
        </w:rPr>
        <w:t>4</w:t>
      </w:r>
      <w:r>
        <w:rPr>
          <w:rFonts w:ascii="宋体" w:hAnsi="宋体" w:eastAsia="宋体"/>
          <w:b/>
          <w:bCs/>
          <w:color w:val="auto"/>
          <w:sz w:val="24"/>
          <w:szCs w:val="24"/>
        </w:rPr>
        <w:t xml:space="preserve">.2.13 </w:t>
      </w:r>
      <w:r>
        <w:rPr>
          <w:rFonts w:hint="eastAsia" w:ascii="宋体" w:hAnsi="宋体" w:eastAsia="宋体"/>
          <w:b/>
          <w:bCs/>
          <w:color w:val="auto"/>
          <w:sz w:val="24"/>
          <w:szCs w:val="24"/>
        </w:rPr>
        <w:t>辅助</w:t>
      </w:r>
      <w:r>
        <w:rPr>
          <w:rFonts w:ascii="宋体" w:hAnsi="宋体" w:eastAsia="宋体"/>
          <w:b/>
          <w:bCs/>
          <w:color w:val="auto"/>
          <w:sz w:val="24"/>
          <w:szCs w:val="24"/>
        </w:rPr>
        <w:t>监控系统</w:t>
      </w:r>
      <w:bookmarkEnd w:id="112"/>
      <w:bookmarkEnd w:id="113"/>
      <w:bookmarkEnd w:id="114"/>
    </w:p>
    <w:p w14:paraId="12D4D03E">
      <w:pPr>
        <w:spacing w:line="360" w:lineRule="auto"/>
        <w:ind w:firstLine="360" w:firstLineChars="15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变电站的</w:t>
      </w:r>
      <w:r>
        <w:rPr>
          <w:rFonts w:hint="eastAsia" w:ascii="Times New Roman" w:hAnsi="Times New Roman" w:eastAsia="宋体" w:cs="Times New Roman"/>
          <w:color w:val="auto"/>
          <w:sz w:val="24"/>
          <w:szCs w:val="24"/>
        </w:rPr>
        <w:t>配电房辅助</w:t>
      </w:r>
      <w:r>
        <w:rPr>
          <w:rFonts w:ascii="Times New Roman" w:hAnsi="Times New Roman" w:eastAsia="宋体" w:cs="Times New Roman"/>
          <w:color w:val="auto"/>
          <w:sz w:val="24"/>
          <w:szCs w:val="24"/>
        </w:rPr>
        <w:t>监控系统集成环境</w:t>
      </w:r>
      <w:r>
        <w:rPr>
          <w:rFonts w:hint="eastAsia" w:ascii="Times New Roman" w:hAnsi="Times New Roman" w:eastAsia="宋体" w:cs="Times New Roman"/>
          <w:color w:val="auto"/>
          <w:sz w:val="24"/>
          <w:szCs w:val="24"/>
        </w:rPr>
        <w:t>温湿度</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SF</w:t>
      </w:r>
      <w:r>
        <w:rPr>
          <w:rFonts w:ascii="Times New Roman" w:hAnsi="Times New Roman" w:eastAsia="宋体" w:cs="Times New Roman"/>
          <w:color w:val="auto"/>
          <w:sz w:val="24"/>
          <w:szCs w:val="24"/>
        </w:rPr>
        <w:t>6</w:t>
      </w:r>
      <w:r>
        <w:rPr>
          <w:rFonts w:hint="eastAsia" w:ascii="Times New Roman" w:hAnsi="Times New Roman" w:eastAsia="宋体" w:cs="Times New Roman"/>
          <w:color w:val="auto"/>
          <w:sz w:val="24"/>
          <w:szCs w:val="24"/>
        </w:rPr>
        <w:t>气体、</w:t>
      </w:r>
      <w:r>
        <w:rPr>
          <w:rFonts w:ascii="Times New Roman" w:hAnsi="Times New Roman" w:eastAsia="宋体" w:cs="Times New Roman"/>
          <w:color w:val="auto"/>
          <w:sz w:val="24"/>
          <w:szCs w:val="24"/>
        </w:rPr>
        <w:t>水浸、空调、视频安防、消防</w:t>
      </w:r>
      <w:r>
        <w:rPr>
          <w:rFonts w:hint="eastAsia" w:ascii="Times New Roman" w:hAnsi="Times New Roman" w:eastAsia="宋体" w:cs="Times New Roman"/>
          <w:color w:val="auto"/>
          <w:sz w:val="24"/>
          <w:szCs w:val="24"/>
        </w:rPr>
        <w:t>及</w:t>
      </w:r>
      <w:r>
        <w:rPr>
          <w:rFonts w:ascii="Times New Roman" w:hAnsi="Times New Roman" w:eastAsia="宋体" w:cs="Times New Roman"/>
          <w:color w:val="auto"/>
          <w:sz w:val="24"/>
          <w:szCs w:val="24"/>
        </w:rPr>
        <w:t>智能锁控多类子系统，实时采集</w:t>
      </w:r>
      <w:r>
        <w:rPr>
          <w:rFonts w:hint="eastAsia" w:ascii="Times New Roman" w:hAnsi="Times New Roman" w:eastAsia="宋体" w:cs="Times New Roman"/>
          <w:color w:val="auto"/>
          <w:sz w:val="24"/>
          <w:szCs w:val="24"/>
        </w:rPr>
        <w:t>配电房</w:t>
      </w:r>
      <w:r>
        <w:rPr>
          <w:rFonts w:ascii="Times New Roman" w:hAnsi="Times New Roman" w:eastAsia="宋体" w:cs="Times New Roman"/>
          <w:color w:val="auto"/>
          <w:sz w:val="24"/>
          <w:szCs w:val="24"/>
        </w:rPr>
        <w:t>内温湿度、水浸等环境数据，实现门禁权限管理、视频监视、火灾报警信号接入。异常情况自动触发告警，数据统一上传运维管理平台，实现无人值班变电站环境安防远程监管，保障站内设备安全稳定运行。</w:t>
      </w:r>
      <w:bookmarkEnd w:id="84"/>
      <w:bookmarkEnd w:id="85"/>
    </w:p>
    <w:p w14:paraId="074B3225">
      <w:pPr>
        <w:rPr>
          <w:rFonts w:ascii="Times New Roman" w:hAnsi="Times New Roman" w:eastAsia="宋体" w:cs="Times New Roman"/>
          <w:color w:val="auto"/>
        </w:rPr>
      </w:pPr>
    </w:p>
    <w:p w14:paraId="57E63326">
      <w:pPr>
        <w:spacing w:before="120" w:after="120" w:line="360" w:lineRule="auto"/>
        <w:jc w:val="left"/>
        <w:outlineLvl w:val="2"/>
        <w:rPr>
          <w:rFonts w:ascii="宋体" w:hAnsi="宋体" w:eastAsia="宋体"/>
          <w:b/>
          <w:bCs/>
          <w:color w:val="auto"/>
          <w:sz w:val="24"/>
          <w:szCs w:val="24"/>
        </w:rPr>
      </w:pPr>
      <w:bookmarkStart w:id="115" w:name="_Toc238818772"/>
      <w:bookmarkStart w:id="116" w:name="_Toc244176144"/>
      <w:bookmarkStart w:id="117" w:name="_Toc135680815"/>
      <w:bookmarkStart w:id="118" w:name="_Toc244176413"/>
      <w:r>
        <w:rPr>
          <w:rFonts w:hint="eastAsia" w:ascii="宋体" w:hAnsi="宋体" w:eastAsia="宋体"/>
          <w:b/>
          <w:bCs/>
          <w:color w:val="auto"/>
          <w:sz w:val="24"/>
          <w:szCs w:val="24"/>
        </w:rPr>
        <w:t>4</w:t>
      </w:r>
      <w:r>
        <w:rPr>
          <w:rFonts w:ascii="宋体" w:hAnsi="宋体" w:eastAsia="宋体"/>
          <w:b/>
          <w:bCs/>
          <w:color w:val="auto"/>
          <w:sz w:val="24"/>
          <w:szCs w:val="24"/>
        </w:rPr>
        <w:t>.2.14 移动端APP</w:t>
      </w:r>
      <w:bookmarkEnd w:id="115"/>
      <w:bookmarkEnd w:id="116"/>
      <w:bookmarkEnd w:id="117"/>
      <w:bookmarkEnd w:id="118"/>
    </w:p>
    <w:p w14:paraId="35450CF4">
      <w:pPr>
        <w:pStyle w:val="8"/>
        <w:topLinePunct/>
        <w:spacing w:line="360" w:lineRule="auto"/>
        <w:rPr>
          <w:bCs/>
          <w:color w:val="auto"/>
          <w:kern w:val="21"/>
        </w:rPr>
      </w:pPr>
      <w:r>
        <w:rPr>
          <w:bCs/>
          <w:color w:val="auto"/>
          <w:kern w:val="21"/>
        </w:rPr>
        <w:t>系统可以提供安装在移动终端（智能手机或Pad）上的移动应用程序，使用户可以利用移动网络（4G/GPRS）实现远程运维，包含远程设备状态查看、浏览等功能。移动终端APP应用为运维管理提供了新的交互手段，便于变电站管理人员随时随地掌握电站情况。</w:t>
      </w:r>
    </w:p>
    <w:p w14:paraId="350EB672">
      <w:pPr>
        <w:spacing w:line="360" w:lineRule="auto"/>
        <w:rPr>
          <w:rFonts w:ascii="Times New Roman" w:hAnsi="Times New Roman" w:eastAsia="宋体" w:cs="Times New Roman"/>
          <w:b/>
          <w:bCs/>
          <w:color w:val="auto"/>
          <w:kern w:val="21"/>
          <w:sz w:val="24"/>
          <w:szCs w:val="24"/>
        </w:rPr>
      </w:pPr>
      <w:r>
        <w:rPr>
          <w:rFonts w:hint="eastAsia" w:ascii="宋体" w:hAnsi="宋体" w:eastAsia="宋体" w:cs="宋体"/>
          <w:b/>
          <w:color w:val="auto"/>
          <w:sz w:val="24"/>
        </w:rPr>
        <w:t>①</w:t>
      </w:r>
      <w:r>
        <w:rPr>
          <w:rFonts w:ascii="Times New Roman" w:hAnsi="Times New Roman" w:eastAsia="宋体" w:cs="Times New Roman"/>
          <w:b/>
          <w:bCs/>
          <w:color w:val="auto"/>
          <w:kern w:val="21"/>
          <w:sz w:val="24"/>
          <w:szCs w:val="24"/>
        </w:rPr>
        <w:t>站点信息总览</w:t>
      </w:r>
    </w:p>
    <w:p w14:paraId="107A0A09">
      <w:pPr>
        <w:spacing w:line="360" w:lineRule="auto"/>
        <w:rPr>
          <w:rFonts w:ascii="Times New Roman" w:hAnsi="Times New Roman" w:eastAsia="宋体" w:cs="Times New Roman"/>
          <w:bCs/>
          <w:color w:val="auto"/>
          <w:kern w:val="21"/>
          <w:sz w:val="24"/>
          <w:szCs w:val="24"/>
        </w:rPr>
      </w:pPr>
      <w:r>
        <w:rPr>
          <w:rFonts w:ascii="Times New Roman" w:hAnsi="Times New Roman" w:eastAsia="宋体" w:cs="Times New Roman"/>
          <w:b/>
          <w:bCs/>
          <w:color w:val="auto"/>
          <w:kern w:val="21"/>
          <w:sz w:val="24"/>
          <w:szCs w:val="24"/>
        </w:rPr>
        <w:t xml:space="preserve">    </w:t>
      </w:r>
      <w:r>
        <w:rPr>
          <w:rFonts w:ascii="Times New Roman" w:hAnsi="Times New Roman" w:eastAsia="宋体" w:cs="Times New Roman"/>
          <w:bCs/>
          <w:color w:val="auto"/>
          <w:kern w:val="21"/>
          <w:sz w:val="24"/>
          <w:szCs w:val="24"/>
        </w:rPr>
        <w:t>通过APP可直观看到配电室的运行状态、通讯状态和概要信息。有问题的站点会通过醒目的方式提醒运维人员。通过APP的站点看板，运维人员可以看到配电室的主要运行数据和负荷运行趋势。</w:t>
      </w:r>
    </w:p>
    <w:p w14:paraId="06E45E18">
      <w:pPr>
        <w:spacing w:line="360" w:lineRule="auto"/>
        <w:rPr>
          <w:rFonts w:ascii="Times New Roman" w:hAnsi="Times New Roman" w:eastAsia="宋体" w:cs="Times New Roman"/>
          <w:bCs/>
          <w:color w:val="auto"/>
          <w:kern w:val="21"/>
          <w:sz w:val="24"/>
          <w:szCs w:val="24"/>
        </w:rPr>
      </w:pPr>
      <w:r>
        <w:rPr>
          <w:rFonts w:ascii="Times New Roman" w:hAnsi="Times New Roman" w:eastAsia="宋体" w:cs="Times New Roman"/>
          <w:bCs/>
          <w:color w:val="auto"/>
          <w:kern w:val="21"/>
          <w:sz w:val="24"/>
          <w:szCs w:val="24"/>
        </w:rPr>
        <w:t>站点实时运行数据：可以查看设备的所有实时运行数据，模拟量和状态量分类显示，更新周期达到秒级。</w:t>
      </w:r>
    </w:p>
    <w:p w14:paraId="72EA1AE5">
      <w:pPr>
        <w:spacing w:line="360" w:lineRule="auto"/>
        <w:rPr>
          <w:rFonts w:ascii="Times New Roman" w:hAnsi="Times New Roman" w:eastAsia="宋体" w:cs="Times New Roman"/>
          <w:bCs/>
          <w:color w:val="auto"/>
          <w:kern w:val="21"/>
          <w:sz w:val="24"/>
          <w:szCs w:val="24"/>
        </w:rPr>
      </w:pPr>
      <w:r>
        <w:rPr>
          <w:rFonts w:hint="eastAsia" w:ascii="Times New Roman" w:hAnsi="Times New Roman" w:eastAsia="宋体" w:cs="Times New Roman"/>
          <w:b/>
          <w:color w:val="auto"/>
          <w:sz w:val="24"/>
        </w:rPr>
        <w:t>②</w:t>
      </w:r>
      <w:r>
        <w:rPr>
          <w:rFonts w:ascii="Times New Roman" w:hAnsi="Times New Roman" w:eastAsia="宋体" w:cs="Times New Roman"/>
          <w:b/>
          <w:color w:val="auto"/>
          <w:sz w:val="24"/>
        </w:rPr>
        <w:t>高低压一次接线图展示</w:t>
      </w:r>
    </w:p>
    <w:p w14:paraId="1A16B935">
      <w:pPr>
        <w:pStyle w:val="8"/>
        <w:topLinePunct/>
        <w:spacing w:line="360" w:lineRule="auto"/>
        <w:rPr>
          <w:bCs/>
          <w:color w:val="auto"/>
          <w:kern w:val="21"/>
        </w:rPr>
      </w:pPr>
      <w:r>
        <w:rPr>
          <w:bCs/>
          <w:color w:val="auto"/>
          <w:kern w:val="21"/>
        </w:rPr>
        <w:t xml:space="preserve"> APP上可查看配电室一次系统图，采用H5矢量图方式，画面数据实时更新。每个配电室最多可支持128个画面，同时支持自动根据画面布局切换手机横竖屏。</w:t>
      </w:r>
    </w:p>
    <w:p w14:paraId="223FFB6B">
      <w:pPr>
        <w:spacing w:line="360" w:lineRule="auto"/>
        <w:rPr>
          <w:rFonts w:ascii="Times New Roman" w:hAnsi="Times New Roman" w:eastAsia="宋体" w:cs="Times New Roman"/>
          <w:b/>
          <w:color w:val="auto"/>
          <w:sz w:val="24"/>
        </w:rPr>
      </w:pPr>
      <w:r>
        <w:rPr>
          <w:rFonts w:hint="eastAsia" w:ascii="Times New Roman" w:hAnsi="Times New Roman" w:eastAsia="宋体" w:cs="Times New Roman"/>
          <w:b/>
          <w:color w:val="auto"/>
          <w:sz w:val="24"/>
        </w:rPr>
        <w:t>③</w:t>
      </w:r>
      <w:r>
        <w:rPr>
          <w:rFonts w:ascii="Times New Roman" w:hAnsi="Times New Roman" w:eastAsia="宋体" w:cs="Times New Roman"/>
          <w:b/>
          <w:color w:val="auto"/>
          <w:sz w:val="24"/>
        </w:rPr>
        <w:t>历史数据查看</w:t>
      </w:r>
    </w:p>
    <w:p w14:paraId="0B9CF10B">
      <w:pPr>
        <w:spacing w:line="360" w:lineRule="auto"/>
        <w:rPr>
          <w:rFonts w:ascii="Times New Roman" w:hAnsi="Times New Roman" w:eastAsia="宋体" w:cs="Times New Roman"/>
          <w:color w:val="auto"/>
          <w:sz w:val="24"/>
          <w:szCs w:val="24"/>
        </w:rPr>
      </w:pPr>
      <w:r>
        <w:rPr>
          <w:rFonts w:ascii="Times New Roman" w:hAnsi="Times New Roman" w:eastAsia="宋体" w:cs="Times New Roman"/>
          <w:b/>
          <w:bCs/>
          <w:color w:val="auto"/>
          <w:kern w:val="21"/>
          <w:sz w:val="24"/>
          <w:szCs w:val="24"/>
        </w:rPr>
        <w:t xml:space="preserve">  </w:t>
      </w:r>
      <w:r>
        <w:rPr>
          <w:rFonts w:ascii="Times New Roman" w:hAnsi="Times New Roman" w:eastAsia="宋体" w:cs="Times New Roman"/>
          <w:bCs/>
          <w:color w:val="auto"/>
          <w:kern w:val="21"/>
          <w:sz w:val="24"/>
          <w:szCs w:val="24"/>
        </w:rPr>
        <w:t>APP可按照线路、类型查询任意时段的历史数据，支持同类数据对比查看。</w:t>
      </w:r>
    </w:p>
    <w:p w14:paraId="1DDD5017">
      <w:pPr>
        <w:spacing w:line="360" w:lineRule="auto"/>
        <w:rPr>
          <w:rFonts w:ascii="Times New Roman" w:hAnsi="Times New Roman" w:eastAsia="宋体" w:cs="Times New Roman"/>
          <w:b/>
          <w:color w:val="auto"/>
          <w:sz w:val="24"/>
        </w:rPr>
      </w:pPr>
      <w:r>
        <w:rPr>
          <w:rFonts w:hint="eastAsia" w:ascii="Times New Roman" w:hAnsi="Times New Roman" w:eastAsia="宋体" w:cs="Times New Roman"/>
          <w:b/>
          <w:color w:val="auto"/>
          <w:sz w:val="24"/>
        </w:rPr>
        <w:t>④</w:t>
      </w:r>
      <w:r>
        <w:rPr>
          <w:rFonts w:ascii="Times New Roman" w:hAnsi="Times New Roman" w:eastAsia="宋体" w:cs="Times New Roman"/>
          <w:b/>
          <w:color w:val="auto"/>
          <w:sz w:val="24"/>
        </w:rPr>
        <w:t>APP设备管理</w:t>
      </w:r>
    </w:p>
    <w:p w14:paraId="4E564710">
      <w:pPr>
        <w:pStyle w:val="8"/>
        <w:topLinePunct/>
        <w:spacing w:line="360" w:lineRule="auto"/>
        <w:rPr>
          <w:b/>
          <w:bCs/>
          <w:color w:val="auto"/>
          <w:kern w:val="21"/>
        </w:rPr>
      </w:pPr>
      <w:r>
        <w:rPr>
          <w:bCs/>
          <w:color w:val="auto"/>
          <w:kern w:val="21"/>
        </w:rPr>
        <w:t>设备信息管理：APP可查询到配电室所有设备的详细信息。</w:t>
      </w:r>
    </w:p>
    <w:p w14:paraId="5EF1204E">
      <w:pPr>
        <w:spacing w:line="360" w:lineRule="auto"/>
        <w:rPr>
          <w:rFonts w:ascii="Times New Roman" w:hAnsi="Times New Roman" w:eastAsia="宋体" w:cs="Times New Roman"/>
          <w:bCs/>
          <w:color w:val="auto"/>
          <w:kern w:val="21"/>
          <w:sz w:val="24"/>
          <w:szCs w:val="24"/>
        </w:rPr>
      </w:pPr>
      <w:r>
        <w:rPr>
          <w:rFonts w:ascii="Times New Roman" w:hAnsi="Times New Roman" w:eastAsia="宋体" w:cs="Times New Roman"/>
          <w:bCs/>
          <w:color w:val="auto"/>
          <w:kern w:val="21"/>
          <w:sz w:val="24"/>
          <w:szCs w:val="24"/>
        </w:rPr>
        <w:t>配电室电子档案管理：APP可查询到配电室的各类电子档案，如图纸、测试报告、检测报告、巡检报告、检修记录等等。信息分类存储，可在线查看</w:t>
      </w:r>
    </w:p>
    <w:p w14:paraId="56007376">
      <w:pPr>
        <w:pStyle w:val="8"/>
        <w:topLinePunct/>
        <w:spacing w:line="360" w:lineRule="auto"/>
        <w:jc w:val="center"/>
        <w:rPr>
          <w:bCs/>
          <w:color w:val="auto"/>
          <w:kern w:val="21"/>
        </w:rPr>
      </w:pPr>
      <w:r>
        <w:rPr>
          <w:bCs/>
          <w:color w:val="auto"/>
          <w:kern w:val="21"/>
        </w:rPr>
        <w:t xml:space="preserve">  </w:t>
      </w:r>
    </w:p>
    <w:p w14:paraId="6A5A53AD">
      <w:pPr>
        <w:topLinePunct/>
        <w:spacing w:line="360" w:lineRule="auto"/>
        <w:jc w:val="left"/>
        <w:rPr>
          <w:rFonts w:ascii="Times New Roman" w:hAnsi="Times New Roman" w:eastAsia="宋体" w:cs="Times New Roman"/>
          <w:b/>
          <w:bCs/>
          <w:color w:val="auto"/>
          <w:kern w:val="21"/>
          <w:sz w:val="24"/>
          <w:szCs w:val="24"/>
        </w:rPr>
      </w:pPr>
      <w:r>
        <w:rPr>
          <w:rFonts w:hint="eastAsia" w:ascii="宋体" w:hAnsi="宋体" w:eastAsia="宋体" w:cs="宋体"/>
          <w:b/>
          <w:bCs/>
          <w:color w:val="auto"/>
          <w:kern w:val="21"/>
          <w:sz w:val="24"/>
          <w:szCs w:val="24"/>
        </w:rPr>
        <w:t>⑤</w:t>
      </w:r>
      <w:r>
        <w:rPr>
          <w:rFonts w:ascii="Times New Roman" w:hAnsi="Times New Roman" w:eastAsia="宋体" w:cs="Times New Roman"/>
          <w:b/>
          <w:bCs/>
          <w:color w:val="auto"/>
          <w:kern w:val="21"/>
          <w:sz w:val="24"/>
          <w:szCs w:val="24"/>
        </w:rPr>
        <w:t>用电报告</w:t>
      </w:r>
    </w:p>
    <w:p w14:paraId="2648FD93">
      <w:pPr>
        <w:topLinePunct/>
        <w:spacing w:line="360" w:lineRule="auto"/>
        <w:ind w:firstLine="480" w:firstLineChars="200"/>
        <w:jc w:val="left"/>
        <w:rPr>
          <w:rFonts w:ascii="Times New Roman" w:hAnsi="Times New Roman" w:eastAsia="宋体" w:cs="Times New Roman"/>
          <w:bCs/>
          <w:color w:val="auto"/>
          <w:kern w:val="21"/>
          <w:sz w:val="24"/>
          <w:szCs w:val="24"/>
        </w:rPr>
      </w:pPr>
      <w:r>
        <w:rPr>
          <w:rFonts w:ascii="Times New Roman" w:hAnsi="Times New Roman" w:eastAsia="宋体" w:cs="Times New Roman"/>
          <w:bCs/>
          <w:color w:val="auto"/>
          <w:kern w:val="21"/>
          <w:sz w:val="24"/>
          <w:szCs w:val="24"/>
        </w:rPr>
        <w:t>APP上每月会自动生成配电室的运行报告，内容可包含用电情况概览，设备告警记录、运维记录、运行报表等内容。</w:t>
      </w:r>
    </w:p>
    <w:p w14:paraId="5934AF31">
      <w:pPr>
        <w:spacing w:line="360" w:lineRule="auto"/>
        <w:rPr>
          <w:rFonts w:ascii="Times New Roman" w:hAnsi="Times New Roman" w:eastAsia="宋体" w:cs="Times New Roman"/>
          <w:color w:val="auto"/>
          <w:sz w:val="24"/>
          <w:szCs w:val="24"/>
        </w:rPr>
      </w:pPr>
    </w:p>
    <w:p w14:paraId="2D865855">
      <w:pPr>
        <w:pStyle w:val="41"/>
        <w:spacing w:before="156" w:beforeLines="50" w:after="156" w:afterLines="50"/>
        <w:rPr>
          <w:color w:val="auto"/>
        </w:rPr>
      </w:pPr>
      <w:bookmarkStart w:id="119" w:name="_Toc163461770"/>
      <w:bookmarkStart w:id="120" w:name="_Toc244176145"/>
      <w:bookmarkStart w:id="121" w:name="_Toc244176414"/>
      <w:r>
        <w:rPr>
          <w:rFonts w:hint="eastAsia"/>
          <w:color w:val="auto"/>
        </w:rPr>
        <w:t>五、</w:t>
      </w:r>
      <w:bookmarkEnd w:id="119"/>
      <w:r>
        <w:rPr>
          <w:rFonts w:hint="eastAsia"/>
          <w:color w:val="auto"/>
        </w:rPr>
        <w:t>供货范围</w:t>
      </w:r>
      <w:bookmarkEnd w:id="120"/>
      <w:bookmarkEnd w:id="121"/>
    </w:p>
    <w:tbl>
      <w:tblPr>
        <w:tblStyle w:val="33"/>
        <w:tblW w:w="5000" w:type="pct"/>
        <w:tblInd w:w="0" w:type="dxa"/>
        <w:tblLayout w:type="autofit"/>
        <w:tblCellMar>
          <w:top w:w="0" w:type="dxa"/>
          <w:left w:w="108" w:type="dxa"/>
          <w:bottom w:w="0" w:type="dxa"/>
          <w:right w:w="108" w:type="dxa"/>
        </w:tblCellMar>
      </w:tblPr>
      <w:tblGrid>
        <w:gridCol w:w="600"/>
        <w:gridCol w:w="2436"/>
        <w:gridCol w:w="2986"/>
        <w:gridCol w:w="566"/>
        <w:gridCol w:w="717"/>
        <w:gridCol w:w="1765"/>
      </w:tblGrid>
      <w:tr w14:paraId="6DE35F9E">
        <w:tblPrEx>
          <w:tblCellMar>
            <w:top w:w="0" w:type="dxa"/>
            <w:left w:w="108" w:type="dxa"/>
            <w:bottom w:w="0" w:type="dxa"/>
            <w:right w:w="108" w:type="dxa"/>
          </w:tblCellMar>
        </w:tblPrEx>
        <w:trPr>
          <w:trHeight w:val="396" w:hRule="atLeast"/>
        </w:trPr>
        <w:tc>
          <w:tcPr>
            <w:tcW w:w="331" w:type="pct"/>
            <w:tcBorders>
              <w:top w:val="single" w:color="auto" w:sz="4" w:space="0"/>
              <w:left w:val="single" w:color="auto" w:sz="4" w:space="0"/>
              <w:bottom w:val="single" w:color="auto" w:sz="4" w:space="0"/>
              <w:right w:val="single" w:color="auto" w:sz="4" w:space="0"/>
            </w:tcBorders>
            <w:vAlign w:val="center"/>
          </w:tcPr>
          <w:p w14:paraId="7FBF58F9">
            <w:pPr>
              <w:widowControl/>
              <w:jc w:val="center"/>
              <w:rPr>
                <w:rFonts w:ascii="宋体" w:hAnsi="宋体" w:eastAsia="宋体" w:cs="宋体"/>
                <w:b/>
                <w:bCs/>
                <w:color w:val="auto"/>
                <w:kern w:val="0"/>
                <w:sz w:val="22"/>
              </w:rPr>
            </w:pPr>
            <w:r>
              <w:rPr>
                <w:rFonts w:ascii="宋体" w:hAnsi="宋体" w:eastAsia="宋体" w:cs="宋体"/>
                <w:b/>
                <w:bCs/>
                <w:color w:val="auto"/>
                <w:kern w:val="0"/>
                <w:sz w:val="22"/>
              </w:rPr>
              <w:t>序号</w:t>
            </w:r>
          </w:p>
        </w:tc>
        <w:tc>
          <w:tcPr>
            <w:tcW w:w="1343" w:type="pct"/>
            <w:tcBorders>
              <w:top w:val="single" w:color="auto" w:sz="4" w:space="0"/>
              <w:left w:val="nil"/>
              <w:bottom w:val="single" w:color="auto" w:sz="4" w:space="0"/>
              <w:right w:val="single" w:color="auto" w:sz="4" w:space="0"/>
            </w:tcBorders>
            <w:vAlign w:val="center"/>
          </w:tcPr>
          <w:p w14:paraId="6AC551CC">
            <w:pPr>
              <w:widowControl/>
              <w:jc w:val="center"/>
              <w:rPr>
                <w:rFonts w:ascii="宋体" w:hAnsi="宋体" w:eastAsia="宋体" w:cs="宋体"/>
                <w:b/>
                <w:bCs/>
                <w:color w:val="auto"/>
                <w:kern w:val="0"/>
                <w:sz w:val="22"/>
              </w:rPr>
            </w:pPr>
            <w:r>
              <w:rPr>
                <w:rFonts w:ascii="宋体" w:hAnsi="宋体" w:eastAsia="宋体" w:cs="宋体"/>
                <w:b/>
                <w:bCs/>
                <w:color w:val="auto"/>
                <w:kern w:val="0"/>
                <w:sz w:val="22"/>
              </w:rPr>
              <w:t>名称</w:t>
            </w:r>
          </w:p>
        </w:tc>
        <w:tc>
          <w:tcPr>
            <w:tcW w:w="1646" w:type="pct"/>
            <w:tcBorders>
              <w:top w:val="single" w:color="auto" w:sz="4" w:space="0"/>
              <w:left w:val="nil"/>
              <w:bottom w:val="single" w:color="auto" w:sz="4" w:space="0"/>
              <w:right w:val="single" w:color="auto" w:sz="4" w:space="0"/>
            </w:tcBorders>
            <w:vAlign w:val="center"/>
          </w:tcPr>
          <w:p w14:paraId="2EDFFD5D">
            <w:pPr>
              <w:widowControl/>
              <w:jc w:val="center"/>
              <w:rPr>
                <w:rFonts w:ascii="宋体" w:hAnsi="宋体" w:eastAsia="宋体" w:cs="宋体"/>
                <w:b/>
                <w:bCs/>
                <w:color w:val="auto"/>
                <w:kern w:val="0"/>
                <w:sz w:val="22"/>
              </w:rPr>
            </w:pPr>
            <w:r>
              <w:rPr>
                <w:rFonts w:ascii="宋体" w:hAnsi="宋体" w:eastAsia="宋体" w:cs="宋体"/>
                <w:b/>
                <w:bCs/>
                <w:color w:val="auto"/>
                <w:kern w:val="0"/>
                <w:sz w:val="22"/>
              </w:rPr>
              <w:t>规格型号</w:t>
            </w:r>
          </w:p>
        </w:tc>
        <w:tc>
          <w:tcPr>
            <w:tcW w:w="312" w:type="pct"/>
            <w:tcBorders>
              <w:top w:val="single" w:color="auto" w:sz="4" w:space="0"/>
              <w:left w:val="nil"/>
              <w:bottom w:val="single" w:color="auto" w:sz="4" w:space="0"/>
              <w:right w:val="single" w:color="auto" w:sz="4" w:space="0"/>
            </w:tcBorders>
            <w:vAlign w:val="center"/>
          </w:tcPr>
          <w:p w14:paraId="6207B52C">
            <w:pPr>
              <w:widowControl/>
              <w:jc w:val="center"/>
              <w:rPr>
                <w:rFonts w:ascii="宋体" w:hAnsi="宋体" w:eastAsia="宋体" w:cs="宋体"/>
                <w:b/>
                <w:bCs/>
                <w:color w:val="auto"/>
                <w:kern w:val="0"/>
                <w:sz w:val="22"/>
              </w:rPr>
            </w:pPr>
            <w:r>
              <w:rPr>
                <w:rFonts w:ascii="宋体" w:hAnsi="宋体" w:eastAsia="宋体" w:cs="宋体"/>
                <w:b/>
                <w:bCs/>
                <w:color w:val="auto"/>
                <w:kern w:val="0"/>
                <w:sz w:val="22"/>
              </w:rPr>
              <w:t>单位</w:t>
            </w:r>
          </w:p>
        </w:tc>
        <w:tc>
          <w:tcPr>
            <w:tcW w:w="395" w:type="pct"/>
            <w:tcBorders>
              <w:top w:val="single" w:color="auto" w:sz="4" w:space="0"/>
              <w:left w:val="nil"/>
              <w:bottom w:val="single" w:color="auto" w:sz="4" w:space="0"/>
              <w:right w:val="single" w:color="auto" w:sz="4" w:space="0"/>
            </w:tcBorders>
            <w:vAlign w:val="center"/>
          </w:tcPr>
          <w:p w14:paraId="5CBE3166">
            <w:pPr>
              <w:widowControl/>
              <w:jc w:val="center"/>
              <w:rPr>
                <w:rFonts w:ascii="宋体" w:hAnsi="宋体" w:eastAsia="宋体" w:cs="宋体"/>
                <w:b/>
                <w:bCs/>
                <w:color w:val="auto"/>
                <w:kern w:val="0"/>
                <w:sz w:val="22"/>
              </w:rPr>
            </w:pPr>
            <w:r>
              <w:rPr>
                <w:rFonts w:ascii="宋体" w:hAnsi="宋体" w:eastAsia="宋体" w:cs="宋体"/>
                <w:b/>
                <w:bCs/>
                <w:color w:val="auto"/>
                <w:kern w:val="0"/>
                <w:sz w:val="22"/>
              </w:rPr>
              <w:t>数量</w:t>
            </w:r>
          </w:p>
        </w:tc>
        <w:tc>
          <w:tcPr>
            <w:tcW w:w="973" w:type="pct"/>
            <w:tcBorders>
              <w:top w:val="single" w:color="auto" w:sz="4" w:space="0"/>
              <w:left w:val="nil"/>
              <w:bottom w:val="single" w:color="auto" w:sz="4" w:space="0"/>
              <w:right w:val="single" w:color="auto" w:sz="4" w:space="0"/>
            </w:tcBorders>
            <w:vAlign w:val="center"/>
          </w:tcPr>
          <w:p w14:paraId="0779FCC9">
            <w:pPr>
              <w:widowControl/>
              <w:jc w:val="center"/>
              <w:rPr>
                <w:rFonts w:ascii="宋体" w:hAnsi="宋体" w:eastAsia="宋体" w:cs="宋体"/>
                <w:b/>
                <w:bCs/>
                <w:color w:val="auto"/>
                <w:kern w:val="0"/>
                <w:sz w:val="22"/>
              </w:rPr>
            </w:pPr>
            <w:r>
              <w:rPr>
                <w:rFonts w:ascii="宋体" w:hAnsi="宋体" w:eastAsia="宋体" w:cs="宋体"/>
                <w:b/>
                <w:bCs/>
                <w:color w:val="auto"/>
                <w:kern w:val="0"/>
                <w:sz w:val="22"/>
              </w:rPr>
              <w:t>备注</w:t>
            </w:r>
          </w:p>
        </w:tc>
      </w:tr>
      <w:tr w14:paraId="1B0C95CF">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46D81DDE">
            <w:pPr>
              <w:widowControl/>
              <w:jc w:val="center"/>
              <w:rPr>
                <w:rFonts w:ascii="宋体" w:hAnsi="宋体" w:eastAsia="宋体" w:cs="宋体"/>
                <w:b/>
                <w:bCs/>
                <w:color w:val="auto"/>
                <w:kern w:val="0"/>
                <w:sz w:val="22"/>
              </w:rPr>
            </w:pPr>
            <w:r>
              <w:rPr>
                <w:rFonts w:ascii="宋体" w:hAnsi="宋体" w:eastAsia="宋体" w:cs="宋体"/>
                <w:b/>
                <w:bCs/>
                <w:color w:val="auto"/>
                <w:kern w:val="0"/>
                <w:sz w:val="22"/>
              </w:rPr>
              <w:t>一</w:t>
            </w:r>
          </w:p>
        </w:tc>
        <w:tc>
          <w:tcPr>
            <w:tcW w:w="3696" w:type="pct"/>
            <w:gridSpan w:val="4"/>
            <w:tcBorders>
              <w:top w:val="single" w:color="auto" w:sz="4" w:space="0"/>
              <w:left w:val="nil"/>
              <w:bottom w:val="single" w:color="auto" w:sz="4" w:space="0"/>
              <w:right w:val="single" w:color="auto" w:sz="4" w:space="0"/>
            </w:tcBorders>
            <w:vAlign w:val="center"/>
          </w:tcPr>
          <w:p w14:paraId="6BFEB605">
            <w:pPr>
              <w:widowControl/>
              <w:jc w:val="center"/>
              <w:rPr>
                <w:rFonts w:ascii="宋体" w:hAnsi="宋体" w:eastAsia="宋体" w:cs="宋体"/>
                <w:b/>
                <w:bCs/>
                <w:color w:val="auto"/>
                <w:kern w:val="0"/>
                <w:sz w:val="22"/>
              </w:rPr>
            </w:pPr>
            <w:r>
              <w:rPr>
                <w:rFonts w:ascii="宋体" w:hAnsi="宋体" w:eastAsia="宋体" w:cs="宋体"/>
                <w:b/>
                <w:bCs/>
                <w:color w:val="auto"/>
                <w:kern w:val="0"/>
                <w:sz w:val="22"/>
              </w:rPr>
              <w:t>运维中心</w:t>
            </w:r>
          </w:p>
        </w:tc>
        <w:tc>
          <w:tcPr>
            <w:tcW w:w="973" w:type="pct"/>
            <w:tcBorders>
              <w:top w:val="nil"/>
              <w:left w:val="nil"/>
              <w:bottom w:val="single" w:color="auto" w:sz="4" w:space="0"/>
              <w:right w:val="single" w:color="auto" w:sz="4" w:space="0"/>
            </w:tcBorders>
            <w:vAlign w:val="bottom"/>
          </w:tcPr>
          <w:p w14:paraId="2599DEFF">
            <w:pPr>
              <w:widowControl/>
              <w:jc w:val="left"/>
              <w:rPr>
                <w:rFonts w:ascii="等线" w:hAnsi="等线" w:eastAsia="等线" w:cs="宋体"/>
                <w:color w:val="auto"/>
                <w:kern w:val="0"/>
                <w:sz w:val="22"/>
              </w:rPr>
            </w:pPr>
            <w:r>
              <w:rPr>
                <w:rFonts w:ascii="等线" w:hAnsi="等线" w:eastAsia="等线" w:cs="宋体"/>
                <w:color w:val="auto"/>
                <w:kern w:val="0"/>
                <w:sz w:val="22"/>
              </w:rPr>
              <w:t>　</w:t>
            </w:r>
          </w:p>
        </w:tc>
      </w:tr>
      <w:tr w14:paraId="6E984903">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4CDBF061">
            <w:pPr>
              <w:widowControl/>
              <w:jc w:val="center"/>
              <w:rPr>
                <w:rFonts w:ascii="宋体" w:hAnsi="宋体" w:eastAsia="宋体" w:cs="宋体"/>
                <w:b/>
                <w:bCs/>
                <w:color w:val="auto"/>
                <w:kern w:val="0"/>
                <w:sz w:val="22"/>
              </w:rPr>
            </w:pPr>
            <w:r>
              <w:rPr>
                <w:rFonts w:ascii="宋体" w:hAnsi="宋体" w:eastAsia="宋体" w:cs="宋体"/>
                <w:b/>
                <w:bCs/>
                <w:color w:val="auto"/>
                <w:kern w:val="0"/>
                <w:sz w:val="22"/>
              </w:rPr>
              <w:t>1</w:t>
            </w:r>
          </w:p>
        </w:tc>
        <w:tc>
          <w:tcPr>
            <w:tcW w:w="1343" w:type="pct"/>
            <w:tcBorders>
              <w:top w:val="nil"/>
              <w:left w:val="nil"/>
              <w:bottom w:val="single" w:color="auto" w:sz="4" w:space="0"/>
              <w:right w:val="single" w:color="auto" w:sz="4" w:space="0"/>
            </w:tcBorders>
            <w:vAlign w:val="center"/>
          </w:tcPr>
          <w:p w14:paraId="2CA18C56">
            <w:pPr>
              <w:widowControl/>
              <w:jc w:val="center"/>
              <w:rPr>
                <w:rFonts w:ascii="宋体" w:hAnsi="宋体" w:eastAsia="宋体" w:cs="宋体"/>
                <w:color w:val="auto"/>
                <w:kern w:val="0"/>
                <w:sz w:val="22"/>
              </w:rPr>
            </w:pPr>
            <w:r>
              <w:rPr>
                <w:rFonts w:ascii="宋体" w:hAnsi="宋体" w:eastAsia="宋体" w:cs="宋体"/>
                <w:color w:val="auto"/>
                <w:kern w:val="0"/>
                <w:sz w:val="22"/>
              </w:rPr>
              <w:t>电力监控软件</w:t>
            </w:r>
          </w:p>
        </w:tc>
        <w:tc>
          <w:tcPr>
            <w:tcW w:w="1646" w:type="pct"/>
            <w:tcBorders>
              <w:top w:val="nil"/>
              <w:left w:val="nil"/>
              <w:bottom w:val="single" w:color="auto" w:sz="4" w:space="0"/>
              <w:right w:val="single" w:color="auto" w:sz="4" w:space="0"/>
            </w:tcBorders>
            <w:vAlign w:val="center"/>
          </w:tcPr>
          <w:p w14:paraId="4C918394">
            <w:pPr>
              <w:widowControl/>
              <w:jc w:val="center"/>
              <w:rPr>
                <w:rFonts w:ascii="宋体" w:hAnsi="宋体" w:eastAsia="宋体" w:cs="宋体"/>
                <w:color w:val="auto"/>
                <w:kern w:val="0"/>
                <w:sz w:val="22"/>
              </w:rPr>
            </w:pPr>
            <w:r>
              <w:rPr>
                <w:rFonts w:ascii="宋体" w:hAnsi="宋体" w:eastAsia="宋体" w:cs="宋体"/>
                <w:color w:val="auto"/>
                <w:kern w:val="0"/>
                <w:sz w:val="22"/>
              </w:rPr>
              <w:t>IPS3000</w:t>
            </w:r>
          </w:p>
        </w:tc>
        <w:tc>
          <w:tcPr>
            <w:tcW w:w="312" w:type="pct"/>
            <w:tcBorders>
              <w:top w:val="nil"/>
              <w:left w:val="nil"/>
              <w:bottom w:val="single" w:color="auto" w:sz="4" w:space="0"/>
              <w:right w:val="single" w:color="auto" w:sz="4" w:space="0"/>
            </w:tcBorders>
            <w:vAlign w:val="center"/>
          </w:tcPr>
          <w:p w14:paraId="0571916C">
            <w:pPr>
              <w:widowControl/>
              <w:jc w:val="center"/>
              <w:rPr>
                <w:rFonts w:ascii="宋体" w:hAnsi="宋体" w:eastAsia="宋体" w:cs="宋体"/>
                <w:color w:val="auto"/>
                <w:kern w:val="0"/>
                <w:sz w:val="22"/>
              </w:rPr>
            </w:pPr>
            <w:r>
              <w:rPr>
                <w:rFonts w:ascii="宋体" w:hAnsi="宋体" w:eastAsia="宋体" w:cs="宋体"/>
                <w:color w:val="auto"/>
                <w:kern w:val="0"/>
                <w:sz w:val="22"/>
              </w:rPr>
              <w:t>套</w:t>
            </w:r>
          </w:p>
        </w:tc>
        <w:tc>
          <w:tcPr>
            <w:tcW w:w="395" w:type="pct"/>
            <w:tcBorders>
              <w:top w:val="nil"/>
              <w:left w:val="nil"/>
              <w:bottom w:val="single" w:color="auto" w:sz="4" w:space="0"/>
              <w:right w:val="single" w:color="auto" w:sz="4" w:space="0"/>
            </w:tcBorders>
            <w:vAlign w:val="center"/>
          </w:tcPr>
          <w:p w14:paraId="70E488BD">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973" w:type="pct"/>
            <w:tcBorders>
              <w:top w:val="nil"/>
              <w:left w:val="nil"/>
              <w:bottom w:val="single" w:color="auto" w:sz="4" w:space="0"/>
              <w:right w:val="single" w:color="auto" w:sz="4" w:space="0"/>
            </w:tcBorders>
            <w:vAlign w:val="center"/>
          </w:tcPr>
          <w:p w14:paraId="0A5EB6D2">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4294F541">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6335F72B">
            <w:pPr>
              <w:widowControl/>
              <w:jc w:val="center"/>
              <w:rPr>
                <w:rFonts w:ascii="宋体" w:hAnsi="宋体" w:eastAsia="宋体" w:cs="宋体"/>
                <w:b/>
                <w:bCs/>
                <w:color w:val="auto"/>
                <w:kern w:val="0"/>
                <w:sz w:val="22"/>
              </w:rPr>
            </w:pPr>
            <w:r>
              <w:rPr>
                <w:rFonts w:ascii="宋体" w:hAnsi="宋体" w:eastAsia="宋体" w:cs="宋体"/>
                <w:b/>
                <w:bCs/>
                <w:color w:val="auto"/>
                <w:kern w:val="0"/>
                <w:sz w:val="22"/>
              </w:rPr>
              <w:t>2</w:t>
            </w:r>
          </w:p>
        </w:tc>
        <w:tc>
          <w:tcPr>
            <w:tcW w:w="1343" w:type="pct"/>
            <w:tcBorders>
              <w:top w:val="nil"/>
              <w:left w:val="nil"/>
              <w:bottom w:val="single" w:color="auto" w:sz="4" w:space="0"/>
              <w:right w:val="single" w:color="auto" w:sz="4" w:space="0"/>
            </w:tcBorders>
            <w:vAlign w:val="center"/>
          </w:tcPr>
          <w:p w14:paraId="285808DC">
            <w:pPr>
              <w:widowControl/>
              <w:jc w:val="center"/>
              <w:rPr>
                <w:rFonts w:ascii="宋体" w:hAnsi="宋体" w:eastAsia="宋体" w:cs="宋体"/>
                <w:color w:val="auto"/>
                <w:kern w:val="0"/>
                <w:sz w:val="22"/>
              </w:rPr>
            </w:pPr>
            <w:r>
              <w:rPr>
                <w:rFonts w:ascii="宋体" w:hAnsi="宋体" w:eastAsia="宋体" w:cs="宋体"/>
                <w:color w:val="auto"/>
                <w:kern w:val="0"/>
                <w:sz w:val="22"/>
              </w:rPr>
              <w:t>运维管理系统软件</w:t>
            </w:r>
          </w:p>
        </w:tc>
        <w:tc>
          <w:tcPr>
            <w:tcW w:w="1646" w:type="pct"/>
            <w:tcBorders>
              <w:top w:val="nil"/>
              <w:left w:val="nil"/>
              <w:bottom w:val="single" w:color="auto" w:sz="4" w:space="0"/>
              <w:right w:val="single" w:color="auto" w:sz="4" w:space="0"/>
            </w:tcBorders>
            <w:vAlign w:val="center"/>
          </w:tcPr>
          <w:p w14:paraId="5458AA66">
            <w:pPr>
              <w:widowControl/>
              <w:jc w:val="center"/>
              <w:rPr>
                <w:rFonts w:ascii="宋体" w:hAnsi="宋体" w:eastAsia="宋体" w:cs="宋体"/>
                <w:color w:val="auto"/>
                <w:kern w:val="0"/>
                <w:sz w:val="22"/>
              </w:rPr>
            </w:pPr>
            <w:r>
              <w:rPr>
                <w:rFonts w:ascii="宋体" w:hAnsi="宋体" w:eastAsia="宋体" w:cs="宋体"/>
                <w:color w:val="auto"/>
                <w:kern w:val="0"/>
                <w:sz w:val="22"/>
              </w:rPr>
              <w:t>XD-OMS</w:t>
            </w:r>
          </w:p>
        </w:tc>
        <w:tc>
          <w:tcPr>
            <w:tcW w:w="312" w:type="pct"/>
            <w:tcBorders>
              <w:top w:val="nil"/>
              <w:left w:val="nil"/>
              <w:bottom w:val="single" w:color="auto" w:sz="4" w:space="0"/>
              <w:right w:val="single" w:color="auto" w:sz="4" w:space="0"/>
            </w:tcBorders>
            <w:vAlign w:val="center"/>
          </w:tcPr>
          <w:p w14:paraId="688DFA05">
            <w:pPr>
              <w:widowControl/>
              <w:jc w:val="center"/>
              <w:rPr>
                <w:rFonts w:ascii="宋体" w:hAnsi="宋体" w:eastAsia="宋体" w:cs="宋体"/>
                <w:color w:val="auto"/>
                <w:kern w:val="0"/>
                <w:sz w:val="22"/>
              </w:rPr>
            </w:pPr>
            <w:r>
              <w:rPr>
                <w:rFonts w:ascii="宋体" w:hAnsi="宋体" w:eastAsia="宋体" w:cs="宋体"/>
                <w:color w:val="auto"/>
                <w:kern w:val="0"/>
                <w:sz w:val="22"/>
              </w:rPr>
              <w:t>套</w:t>
            </w:r>
          </w:p>
        </w:tc>
        <w:tc>
          <w:tcPr>
            <w:tcW w:w="395" w:type="pct"/>
            <w:tcBorders>
              <w:top w:val="nil"/>
              <w:left w:val="nil"/>
              <w:bottom w:val="single" w:color="auto" w:sz="4" w:space="0"/>
              <w:right w:val="single" w:color="auto" w:sz="4" w:space="0"/>
            </w:tcBorders>
            <w:vAlign w:val="center"/>
          </w:tcPr>
          <w:p w14:paraId="29BD9265">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973" w:type="pct"/>
            <w:tcBorders>
              <w:top w:val="nil"/>
              <w:left w:val="nil"/>
              <w:bottom w:val="single" w:color="auto" w:sz="4" w:space="0"/>
              <w:right w:val="single" w:color="auto" w:sz="4" w:space="0"/>
            </w:tcBorders>
            <w:vAlign w:val="center"/>
          </w:tcPr>
          <w:p w14:paraId="68A5FAD7">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38A3977F">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67918EB6">
            <w:pPr>
              <w:widowControl/>
              <w:jc w:val="center"/>
              <w:rPr>
                <w:rFonts w:ascii="宋体" w:hAnsi="宋体" w:eastAsia="宋体" w:cs="宋体"/>
                <w:b/>
                <w:bCs/>
                <w:color w:val="auto"/>
                <w:kern w:val="0"/>
                <w:sz w:val="22"/>
              </w:rPr>
            </w:pPr>
            <w:r>
              <w:rPr>
                <w:rFonts w:ascii="宋体" w:hAnsi="宋体" w:eastAsia="宋体" w:cs="宋体"/>
                <w:b/>
                <w:bCs/>
                <w:color w:val="auto"/>
                <w:kern w:val="0"/>
                <w:sz w:val="22"/>
              </w:rPr>
              <w:t>3</w:t>
            </w:r>
          </w:p>
        </w:tc>
        <w:tc>
          <w:tcPr>
            <w:tcW w:w="1343" w:type="pct"/>
            <w:tcBorders>
              <w:top w:val="nil"/>
              <w:left w:val="nil"/>
              <w:bottom w:val="single" w:color="auto" w:sz="4" w:space="0"/>
              <w:right w:val="single" w:color="auto" w:sz="4" w:space="0"/>
            </w:tcBorders>
            <w:vAlign w:val="center"/>
          </w:tcPr>
          <w:p w14:paraId="561CBCA0">
            <w:pPr>
              <w:widowControl/>
              <w:jc w:val="center"/>
              <w:rPr>
                <w:rFonts w:ascii="宋体" w:hAnsi="宋体" w:eastAsia="宋体" w:cs="宋体"/>
                <w:color w:val="auto"/>
                <w:kern w:val="0"/>
                <w:sz w:val="22"/>
              </w:rPr>
            </w:pPr>
            <w:r>
              <w:rPr>
                <w:rFonts w:ascii="宋体" w:hAnsi="宋体" w:eastAsia="宋体" w:cs="宋体"/>
                <w:color w:val="auto"/>
                <w:kern w:val="0"/>
                <w:sz w:val="22"/>
              </w:rPr>
              <w:t>手机APP软件</w:t>
            </w:r>
          </w:p>
        </w:tc>
        <w:tc>
          <w:tcPr>
            <w:tcW w:w="1646" w:type="pct"/>
            <w:tcBorders>
              <w:top w:val="nil"/>
              <w:left w:val="nil"/>
              <w:bottom w:val="single" w:color="auto" w:sz="4" w:space="0"/>
              <w:right w:val="single" w:color="auto" w:sz="4" w:space="0"/>
            </w:tcBorders>
            <w:vAlign w:val="center"/>
          </w:tcPr>
          <w:p w14:paraId="277D1E2B">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vAlign w:val="center"/>
          </w:tcPr>
          <w:p w14:paraId="05FB1B83">
            <w:pPr>
              <w:widowControl/>
              <w:jc w:val="center"/>
              <w:rPr>
                <w:rFonts w:ascii="宋体" w:hAnsi="宋体" w:eastAsia="宋体" w:cs="宋体"/>
                <w:color w:val="auto"/>
                <w:kern w:val="0"/>
                <w:sz w:val="22"/>
              </w:rPr>
            </w:pPr>
            <w:r>
              <w:rPr>
                <w:rFonts w:ascii="宋体" w:hAnsi="宋体" w:eastAsia="宋体" w:cs="宋体"/>
                <w:color w:val="auto"/>
                <w:kern w:val="0"/>
                <w:sz w:val="22"/>
              </w:rPr>
              <w:t>套</w:t>
            </w:r>
          </w:p>
        </w:tc>
        <w:tc>
          <w:tcPr>
            <w:tcW w:w="395" w:type="pct"/>
            <w:tcBorders>
              <w:top w:val="nil"/>
              <w:left w:val="nil"/>
              <w:bottom w:val="single" w:color="auto" w:sz="4" w:space="0"/>
              <w:right w:val="single" w:color="auto" w:sz="4" w:space="0"/>
            </w:tcBorders>
            <w:vAlign w:val="center"/>
          </w:tcPr>
          <w:p w14:paraId="0D5B136F">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973" w:type="pct"/>
            <w:tcBorders>
              <w:top w:val="nil"/>
              <w:left w:val="nil"/>
              <w:bottom w:val="single" w:color="auto" w:sz="4" w:space="0"/>
              <w:right w:val="single" w:color="auto" w:sz="4" w:space="0"/>
            </w:tcBorders>
            <w:vAlign w:val="center"/>
          </w:tcPr>
          <w:p w14:paraId="7A054E8E">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233F2654">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76F7AAFD">
            <w:pPr>
              <w:widowControl/>
              <w:jc w:val="center"/>
              <w:rPr>
                <w:rFonts w:ascii="宋体" w:hAnsi="宋体" w:eastAsia="宋体" w:cs="宋体"/>
                <w:b/>
                <w:bCs/>
                <w:color w:val="auto"/>
                <w:kern w:val="0"/>
                <w:sz w:val="22"/>
              </w:rPr>
            </w:pPr>
            <w:r>
              <w:rPr>
                <w:rFonts w:ascii="宋体" w:hAnsi="宋体" w:eastAsia="宋体" w:cs="宋体"/>
                <w:b/>
                <w:bCs/>
                <w:color w:val="auto"/>
                <w:kern w:val="0"/>
                <w:sz w:val="22"/>
              </w:rPr>
              <w:t>4</w:t>
            </w:r>
          </w:p>
        </w:tc>
        <w:tc>
          <w:tcPr>
            <w:tcW w:w="1343" w:type="pct"/>
            <w:tcBorders>
              <w:top w:val="nil"/>
              <w:left w:val="nil"/>
              <w:bottom w:val="single" w:color="auto" w:sz="4" w:space="0"/>
              <w:right w:val="single" w:color="auto" w:sz="4" w:space="0"/>
            </w:tcBorders>
            <w:vAlign w:val="center"/>
          </w:tcPr>
          <w:p w14:paraId="1667B389">
            <w:pPr>
              <w:widowControl/>
              <w:jc w:val="center"/>
              <w:rPr>
                <w:rFonts w:ascii="宋体" w:hAnsi="宋体" w:eastAsia="宋体" w:cs="宋体"/>
                <w:color w:val="auto"/>
                <w:kern w:val="0"/>
                <w:sz w:val="22"/>
              </w:rPr>
            </w:pPr>
            <w:r>
              <w:rPr>
                <w:rFonts w:ascii="宋体" w:hAnsi="宋体" w:eastAsia="宋体" w:cs="宋体"/>
                <w:color w:val="auto"/>
                <w:kern w:val="0"/>
                <w:sz w:val="22"/>
              </w:rPr>
              <w:t>监控主机</w:t>
            </w:r>
          </w:p>
        </w:tc>
        <w:tc>
          <w:tcPr>
            <w:tcW w:w="1646" w:type="pct"/>
            <w:tcBorders>
              <w:top w:val="nil"/>
              <w:left w:val="nil"/>
              <w:bottom w:val="single" w:color="auto" w:sz="4" w:space="0"/>
              <w:right w:val="single" w:color="auto" w:sz="4" w:space="0"/>
            </w:tcBorders>
            <w:vAlign w:val="center"/>
          </w:tcPr>
          <w:p w14:paraId="235F398E">
            <w:pPr>
              <w:widowControl/>
              <w:jc w:val="center"/>
              <w:rPr>
                <w:rFonts w:ascii="宋体" w:hAnsi="宋体" w:eastAsia="宋体" w:cs="宋体"/>
                <w:color w:val="auto"/>
                <w:kern w:val="0"/>
                <w:sz w:val="22"/>
              </w:rPr>
            </w:pPr>
            <w:r>
              <w:rPr>
                <w:rFonts w:ascii="宋体" w:hAnsi="宋体" w:eastAsia="宋体" w:cs="宋体"/>
                <w:color w:val="auto"/>
                <w:kern w:val="0"/>
                <w:sz w:val="22"/>
              </w:rPr>
              <w:t>I7/16G/1T SSD/独显</w:t>
            </w:r>
          </w:p>
        </w:tc>
        <w:tc>
          <w:tcPr>
            <w:tcW w:w="312" w:type="pct"/>
            <w:tcBorders>
              <w:top w:val="nil"/>
              <w:left w:val="nil"/>
              <w:bottom w:val="single" w:color="auto" w:sz="4" w:space="0"/>
              <w:right w:val="single" w:color="auto" w:sz="4" w:space="0"/>
            </w:tcBorders>
            <w:vAlign w:val="center"/>
          </w:tcPr>
          <w:p w14:paraId="172FCB90">
            <w:pPr>
              <w:widowControl/>
              <w:jc w:val="center"/>
              <w:rPr>
                <w:rFonts w:ascii="宋体" w:hAnsi="宋体" w:eastAsia="宋体" w:cs="宋体"/>
                <w:color w:val="auto"/>
                <w:kern w:val="0"/>
                <w:sz w:val="22"/>
              </w:rPr>
            </w:pPr>
            <w:r>
              <w:rPr>
                <w:rFonts w:ascii="宋体" w:hAnsi="宋体" w:eastAsia="宋体" w:cs="宋体"/>
                <w:color w:val="auto"/>
                <w:kern w:val="0"/>
                <w:sz w:val="22"/>
              </w:rPr>
              <w:t>台</w:t>
            </w:r>
          </w:p>
        </w:tc>
        <w:tc>
          <w:tcPr>
            <w:tcW w:w="395" w:type="pct"/>
            <w:tcBorders>
              <w:top w:val="nil"/>
              <w:left w:val="nil"/>
              <w:bottom w:val="single" w:color="auto" w:sz="4" w:space="0"/>
              <w:right w:val="single" w:color="auto" w:sz="4" w:space="0"/>
            </w:tcBorders>
            <w:vAlign w:val="center"/>
          </w:tcPr>
          <w:p w14:paraId="1FA11806">
            <w:pPr>
              <w:widowControl/>
              <w:jc w:val="center"/>
              <w:rPr>
                <w:rFonts w:ascii="宋体" w:hAnsi="宋体" w:eastAsia="宋体" w:cs="宋体"/>
                <w:color w:val="auto"/>
                <w:kern w:val="0"/>
                <w:sz w:val="22"/>
              </w:rPr>
            </w:pPr>
            <w:r>
              <w:rPr>
                <w:rFonts w:ascii="宋体" w:hAnsi="宋体" w:eastAsia="宋体" w:cs="宋体"/>
                <w:color w:val="auto"/>
                <w:kern w:val="0"/>
                <w:sz w:val="22"/>
              </w:rPr>
              <w:t>2</w:t>
            </w:r>
          </w:p>
        </w:tc>
        <w:tc>
          <w:tcPr>
            <w:tcW w:w="973" w:type="pct"/>
            <w:tcBorders>
              <w:top w:val="nil"/>
              <w:left w:val="nil"/>
              <w:bottom w:val="single" w:color="auto" w:sz="4" w:space="0"/>
              <w:right w:val="single" w:color="auto" w:sz="4" w:space="0"/>
            </w:tcBorders>
            <w:vAlign w:val="center"/>
          </w:tcPr>
          <w:p w14:paraId="02236750">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221086EF">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48AE3C2F">
            <w:pPr>
              <w:widowControl/>
              <w:jc w:val="center"/>
              <w:rPr>
                <w:rFonts w:ascii="宋体" w:hAnsi="宋体" w:eastAsia="宋体" w:cs="宋体"/>
                <w:b/>
                <w:bCs/>
                <w:color w:val="auto"/>
                <w:kern w:val="0"/>
                <w:sz w:val="22"/>
              </w:rPr>
            </w:pPr>
            <w:r>
              <w:rPr>
                <w:rFonts w:ascii="宋体" w:hAnsi="宋体" w:eastAsia="宋体" w:cs="宋体"/>
                <w:b/>
                <w:bCs/>
                <w:color w:val="auto"/>
                <w:kern w:val="0"/>
                <w:sz w:val="22"/>
              </w:rPr>
              <w:t>5</w:t>
            </w:r>
          </w:p>
        </w:tc>
        <w:tc>
          <w:tcPr>
            <w:tcW w:w="1343" w:type="pct"/>
            <w:tcBorders>
              <w:top w:val="nil"/>
              <w:left w:val="nil"/>
              <w:bottom w:val="single" w:color="auto" w:sz="4" w:space="0"/>
              <w:right w:val="single" w:color="auto" w:sz="4" w:space="0"/>
            </w:tcBorders>
            <w:vAlign w:val="center"/>
          </w:tcPr>
          <w:p w14:paraId="5F47B57B">
            <w:pPr>
              <w:widowControl/>
              <w:jc w:val="center"/>
              <w:rPr>
                <w:rFonts w:ascii="宋体" w:hAnsi="宋体" w:eastAsia="宋体" w:cs="宋体"/>
                <w:color w:val="auto"/>
                <w:kern w:val="0"/>
                <w:sz w:val="22"/>
              </w:rPr>
            </w:pPr>
            <w:r>
              <w:rPr>
                <w:rFonts w:ascii="宋体" w:hAnsi="宋体" w:eastAsia="宋体" w:cs="宋体"/>
                <w:color w:val="auto"/>
                <w:kern w:val="0"/>
                <w:sz w:val="22"/>
              </w:rPr>
              <w:t>显示器</w:t>
            </w:r>
          </w:p>
        </w:tc>
        <w:tc>
          <w:tcPr>
            <w:tcW w:w="1646" w:type="pct"/>
            <w:tcBorders>
              <w:top w:val="nil"/>
              <w:left w:val="nil"/>
              <w:bottom w:val="single" w:color="auto" w:sz="4" w:space="0"/>
              <w:right w:val="single" w:color="auto" w:sz="4" w:space="0"/>
            </w:tcBorders>
            <w:vAlign w:val="center"/>
          </w:tcPr>
          <w:p w14:paraId="5D0A2ACA">
            <w:pPr>
              <w:widowControl/>
              <w:jc w:val="center"/>
              <w:rPr>
                <w:rFonts w:ascii="宋体" w:hAnsi="宋体" w:eastAsia="宋体" w:cs="宋体"/>
                <w:color w:val="auto"/>
                <w:kern w:val="0"/>
                <w:sz w:val="22"/>
              </w:rPr>
            </w:pPr>
            <w:r>
              <w:rPr>
                <w:rFonts w:ascii="宋体" w:hAnsi="宋体" w:eastAsia="宋体" w:cs="宋体"/>
                <w:color w:val="auto"/>
                <w:kern w:val="0"/>
                <w:sz w:val="22"/>
              </w:rPr>
              <w:t>27寸</w:t>
            </w:r>
          </w:p>
        </w:tc>
        <w:tc>
          <w:tcPr>
            <w:tcW w:w="312" w:type="pct"/>
            <w:tcBorders>
              <w:top w:val="nil"/>
              <w:left w:val="nil"/>
              <w:bottom w:val="single" w:color="auto" w:sz="4" w:space="0"/>
              <w:right w:val="single" w:color="auto" w:sz="4" w:space="0"/>
            </w:tcBorders>
            <w:vAlign w:val="center"/>
          </w:tcPr>
          <w:p w14:paraId="6A1871EE">
            <w:pPr>
              <w:widowControl/>
              <w:jc w:val="center"/>
              <w:rPr>
                <w:rFonts w:ascii="宋体" w:hAnsi="宋体" w:eastAsia="宋体" w:cs="宋体"/>
                <w:color w:val="auto"/>
                <w:kern w:val="0"/>
                <w:sz w:val="22"/>
              </w:rPr>
            </w:pPr>
            <w:r>
              <w:rPr>
                <w:rFonts w:ascii="宋体" w:hAnsi="宋体" w:eastAsia="宋体" w:cs="宋体"/>
                <w:color w:val="auto"/>
                <w:kern w:val="0"/>
                <w:sz w:val="22"/>
              </w:rPr>
              <w:t>台</w:t>
            </w:r>
          </w:p>
        </w:tc>
        <w:tc>
          <w:tcPr>
            <w:tcW w:w="395" w:type="pct"/>
            <w:tcBorders>
              <w:top w:val="nil"/>
              <w:left w:val="nil"/>
              <w:bottom w:val="single" w:color="auto" w:sz="4" w:space="0"/>
              <w:right w:val="single" w:color="auto" w:sz="4" w:space="0"/>
            </w:tcBorders>
            <w:vAlign w:val="center"/>
          </w:tcPr>
          <w:p w14:paraId="46D79C8A">
            <w:pPr>
              <w:widowControl/>
              <w:jc w:val="center"/>
              <w:rPr>
                <w:rFonts w:ascii="宋体" w:hAnsi="宋体" w:eastAsia="宋体" w:cs="宋体"/>
                <w:color w:val="auto"/>
                <w:kern w:val="0"/>
                <w:sz w:val="22"/>
              </w:rPr>
            </w:pPr>
            <w:r>
              <w:rPr>
                <w:rFonts w:ascii="宋体" w:hAnsi="宋体" w:eastAsia="宋体" w:cs="宋体"/>
                <w:color w:val="auto"/>
                <w:kern w:val="0"/>
                <w:sz w:val="22"/>
              </w:rPr>
              <w:t>2</w:t>
            </w:r>
          </w:p>
        </w:tc>
        <w:tc>
          <w:tcPr>
            <w:tcW w:w="973" w:type="pct"/>
            <w:tcBorders>
              <w:top w:val="nil"/>
              <w:left w:val="nil"/>
              <w:bottom w:val="single" w:color="auto" w:sz="4" w:space="0"/>
              <w:right w:val="single" w:color="auto" w:sz="4" w:space="0"/>
            </w:tcBorders>
            <w:vAlign w:val="center"/>
          </w:tcPr>
          <w:p w14:paraId="589D353F">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2A1FA5F5">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shd w:val="clear" w:color="000000" w:fill="FFFFFF"/>
            <w:vAlign w:val="center"/>
          </w:tcPr>
          <w:p w14:paraId="6F153884">
            <w:pPr>
              <w:widowControl/>
              <w:jc w:val="center"/>
              <w:rPr>
                <w:rFonts w:ascii="宋体" w:hAnsi="宋体" w:eastAsia="宋体" w:cs="宋体"/>
                <w:b/>
                <w:bCs/>
                <w:color w:val="auto"/>
                <w:kern w:val="0"/>
                <w:sz w:val="22"/>
              </w:rPr>
            </w:pPr>
            <w:r>
              <w:rPr>
                <w:rFonts w:ascii="宋体" w:hAnsi="宋体" w:eastAsia="宋体" w:cs="宋体"/>
                <w:b/>
                <w:bCs/>
                <w:color w:val="auto"/>
                <w:kern w:val="0"/>
                <w:sz w:val="22"/>
              </w:rPr>
              <w:t>6</w:t>
            </w:r>
          </w:p>
        </w:tc>
        <w:tc>
          <w:tcPr>
            <w:tcW w:w="1343" w:type="pct"/>
            <w:tcBorders>
              <w:top w:val="nil"/>
              <w:left w:val="nil"/>
              <w:bottom w:val="single" w:color="auto" w:sz="4" w:space="0"/>
              <w:right w:val="single" w:color="auto" w:sz="4" w:space="0"/>
            </w:tcBorders>
            <w:shd w:val="clear" w:color="000000" w:fill="FFFFFF"/>
            <w:vAlign w:val="center"/>
          </w:tcPr>
          <w:p w14:paraId="1C261AEA">
            <w:pPr>
              <w:widowControl/>
              <w:jc w:val="center"/>
              <w:rPr>
                <w:rFonts w:ascii="宋体" w:hAnsi="宋体" w:eastAsia="宋体" w:cs="宋体"/>
                <w:color w:val="auto"/>
                <w:kern w:val="0"/>
                <w:sz w:val="22"/>
              </w:rPr>
            </w:pPr>
            <w:r>
              <w:rPr>
                <w:rFonts w:ascii="宋体" w:hAnsi="宋体" w:eastAsia="宋体" w:cs="宋体"/>
                <w:color w:val="auto"/>
                <w:kern w:val="0"/>
                <w:sz w:val="22"/>
              </w:rPr>
              <w:t>操作系统</w:t>
            </w:r>
          </w:p>
        </w:tc>
        <w:tc>
          <w:tcPr>
            <w:tcW w:w="1646" w:type="pct"/>
            <w:tcBorders>
              <w:top w:val="nil"/>
              <w:left w:val="nil"/>
              <w:bottom w:val="single" w:color="auto" w:sz="4" w:space="0"/>
              <w:right w:val="single" w:color="auto" w:sz="4" w:space="0"/>
            </w:tcBorders>
            <w:shd w:val="clear" w:color="000000" w:fill="FFFFFF"/>
            <w:vAlign w:val="center"/>
          </w:tcPr>
          <w:p w14:paraId="7CE33954">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shd w:val="clear" w:color="000000" w:fill="FFFFFF"/>
            <w:vAlign w:val="center"/>
          </w:tcPr>
          <w:p w14:paraId="341B3FCE">
            <w:pPr>
              <w:widowControl/>
              <w:jc w:val="center"/>
              <w:rPr>
                <w:rFonts w:ascii="宋体" w:hAnsi="宋体" w:eastAsia="宋体" w:cs="宋体"/>
                <w:color w:val="auto"/>
                <w:kern w:val="0"/>
                <w:sz w:val="22"/>
              </w:rPr>
            </w:pPr>
            <w:r>
              <w:rPr>
                <w:rFonts w:ascii="宋体" w:hAnsi="宋体" w:eastAsia="宋体" w:cs="宋体"/>
                <w:color w:val="auto"/>
                <w:kern w:val="0"/>
                <w:sz w:val="22"/>
              </w:rPr>
              <w:t>套</w:t>
            </w:r>
          </w:p>
        </w:tc>
        <w:tc>
          <w:tcPr>
            <w:tcW w:w="395" w:type="pct"/>
            <w:tcBorders>
              <w:top w:val="nil"/>
              <w:left w:val="nil"/>
              <w:bottom w:val="single" w:color="auto" w:sz="4" w:space="0"/>
              <w:right w:val="single" w:color="auto" w:sz="4" w:space="0"/>
            </w:tcBorders>
            <w:shd w:val="clear" w:color="000000" w:fill="FFFFFF"/>
            <w:vAlign w:val="center"/>
          </w:tcPr>
          <w:p w14:paraId="146B9815">
            <w:pPr>
              <w:widowControl/>
              <w:jc w:val="center"/>
              <w:rPr>
                <w:rFonts w:ascii="宋体" w:hAnsi="宋体" w:eastAsia="宋体" w:cs="宋体"/>
                <w:color w:val="auto"/>
                <w:kern w:val="0"/>
                <w:sz w:val="22"/>
              </w:rPr>
            </w:pPr>
            <w:r>
              <w:rPr>
                <w:rFonts w:ascii="宋体" w:hAnsi="宋体" w:eastAsia="宋体" w:cs="宋体"/>
                <w:color w:val="auto"/>
                <w:kern w:val="0"/>
                <w:sz w:val="22"/>
              </w:rPr>
              <w:t>2</w:t>
            </w:r>
          </w:p>
        </w:tc>
        <w:tc>
          <w:tcPr>
            <w:tcW w:w="973" w:type="pct"/>
            <w:tcBorders>
              <w:top w:val="nil"/>
              <w:left w:val="nil"/>
              <w:bottom w:val="single" w:color="auto" w:sz="4" w:space="0"/>
              <w:right w:val="single" w:color="auto" w:sz="4" w:space="0"/>
            </w:tcBorders>
            <w:shd w:val="clear" w:color="000000" w:fill="FFFFFF"/>
            <w:vAlign w:val="center"/>
          </w:tcPr>
          <w:p w14:paraId="7EB613B9">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4425797C">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shd w:val="clear" w:color="000000" w:fill="FFFFFF"/>
            <w:vAlign w:val="center"/>
          </w:tcPr>
          <w:p w14:paraId="1B2E6453">
            <w:pPr>
              <w:widowControl/>
              <w:jc w:val="center"/>
              <w:rPr>
                <w:rFonts w:ascii="宋体" w:hAnsi="宋体" w:eastAsia="宋体" w:cs="宋体"/>
                <w:b/>
                <w:bCs/>
                <w:color w:val="auto"/>
                <w:kern w:val="0"/>
                <w:sz w:val="22"/>
              </w:rPr>
            </w:pPr>
            <w:r>
              <w:rPr>
                <w:rFonts w:ascii="宋体" w:hAnsi="宋体" w:eastAsia="宋体" w:cs="宋体"/>
                <w:b/>
                <w:bCs/>
                <w:color w:val="auto"/>
                <w:kern w:val="0"/>
                <w:sz w:val="22"/>
              </w:rPr>
              <w:t>7</w:t>
            </w:r>
          </w:p>
        </w:tc>
        <w:tc>
          <w:tcPr>
            <w:tcW w:w="1343" w:type="pct"/>
            <w:tcBorders>
              <w:top w:val="nil"/>
              <w:left w:val="nil"/>
              <w:bottom w:val="single" w:color="auto" w:sz="4" w:space="0"/>
              <w:right w:val="single" w:color="auto" w:sz="4" w:space="0"/>
            </w:tcBorders>
            <w:shd w:val="clear" w:color="000000" w:fill="FFFFFF"/>
            <w:vAlign w:val="center"/>
          </w:tcPr>
          <w:p w14:paraId="5DCB8018">
            <w:pPr>
              <w:widowControl/>
              <w:jc w:val="center"/>
              <w:rPr>
                <w:rFonts w:ascii="宋体" w:hAnsi="宋体" w:eastAsia="宋体" w:cs="宋体"/>
                <w:color w:val="auto"/>
                <w:kern w:val="0"/>
                <w:sz w:val="22"/>
              </w:rPr>
            </w:pPr>
            <w:r>
              <w:rPr>
                <w:rFonts w:ascii="宋体" w:hAnsi="宋体" w:eastAsia="宋体" w:cs="宋体"/>
                <w:color w:val="auto"/>
                <w:kern w:val="0"/>
                <w:sz w:val="22"/>
              </w:rPr>
              <w:t>云服务器</w:t>
            </w:r>
          </w:p>
        </w:tc>
        <w:tc>
          <w:tcPr>
            <w:tcW w:w="1646" w:type="pct"/>
            <w:tcBorders>
              <w:top w:val="nil"/>
              <w:left w:val="nil"/>
              <w:bottom w:val="single" w:color="auto" w:sz="4" w:space="0"/>
              <w:right w:val="single" w:color="auto" w:sz="4" w:space="0"/>
            </w:tcBorders>
            <w:shd w:val="clear" w:color="000000" w:fill="FFFFFF"/>
            <w:vAlign w:val="center"/>
          </w:tcPr>
          <w:p w14:paraId="62FDFE8B">
            <w:pPr>
              <w:widowControl/>
              <w:jc w:val="left"/>
              <w:rPr>
                <w:rFonts w:ascii="Times New Roman" w:hAnsi="Times New Roman" w:eastAsia="等线" w:cs="Times New Roman"/>
                <w:color w:val="auto"/>
                <w:kern w:val="0"/>
                <w:sz w:val="20"/>
                <w:szCs w:val="20"/>
              </w:rPr>
            </w:pPr>
            <w:r>
              <w:rPr>
                <w:rFonts w:ascii="Times New Roman" w:hAnsi="Times New Roman" w:eastAsia="等线" w:cs="Times New Roman"/>
                <w:color w:val="auto"/>
                <w:kern w:val="0"/>
                <w:sz w:val="20"/>
                <w:szCs w:val="20"/>
              </w:rPr>
              <w:t>　</w:t>
            </w:r>
          </w:p>
        </w:tc>
        <w:tc>
          <w:tcPr>
            <w:tcW w:w="312" w:type="pct"/>
            <w:tcBorders>
              <w:top w:val="nil"/>
              <w:left w:val="nil"/>
              <w:bottom w:val="single" w:color="auto" w:sz="4" w:space="0"/>
              <w:right w:val="single" w:color="auto" w:sz="4" w:space="0"/>
            </w:tcBorders>
            <w:shd w:val="clear" w:color="000000" w:fill="FFFFFF"/>
            <w:vAlign w:val="center"/>
          </w:tcPr>
          <w:p w14:paraId="451B14EE">
            <w:pPr>
              <w:widowControl/>
              <w:jc w:val="center"/>
              <w:rPr>
                <w:rFonts w:ascii="宋体" w:hAnsi="宋体" w:eastAsia="宋体" w:cs="宋体"/>
                <w:color w:val="auto"/>
                <w:kern w:val="0"/>
                <w:sz w:val="22"/>
              </w:rPr>
            </w:pPr>
            <w:r>
              <w:rPr>
                <w:rFonts w:ascii="宋体" w:hAnsi="宋体" w:eastAsia="宋体" w:cs="宋体"/>
                <w:color w:val="auto"/>
                <w:kern w:val="0"/>
                <w:sz w:val="22"/>
              </w:rPr>
              <w:t>套</w:t>
            </w:r>
          </w:p>
        </w:tc>
        <w:tc>
          <w:tcPr>
            <w:tcW w:w="395" w:type="pct"/>
            <w:tcBorders>
              <w:top w:val="nil"/>
              <w:left w:val="nil"/>
              <w:bottom w:val="single" w:color="auto" w:sz="4" w:space="0"/>
              <w:right w:val="single" w:color="auto" w:sz="4" w:space="0"/>
            </w:tcBorders>
            <w:shd w:val="clear" w:color="000000" w:fill="FFFFFF"/>
            <w:vAlign w:val="center"/>
          </w:tcPr>
          <w:p w14:paraId="3AFEC0A8">
            <w:pPr>
              <w:widowControl/>
              <w:jc w:val="center"/>
              <w:rPr>
                <w:rFonts w:ascii="宋体" w:hAnsi="宋体" w:eastAsia="宋体" w:cs="宋体"/>
                <w:color w:val="auto"/>
                <w:kern w:val="0"/>
                <w:sz w:val="22"/>
              </w:rPr>
            </w:pPr>
            <w:r>
              <w:rPr>
                <w:rFonts w:ascii="宋体" w:hAnsi="宋体" w:eastAsia="宋体" w:cs="宋体"/>
                <w:color w:val="auto"/>
                <w:kern w:val="0"/>
                <w:sz w:val="22"/>
              </w:rPr>
              <w:t>2</w:t>
            </w:r>
          </w:p>
        </w:tc>
        <w:tc>
          <w:tcPr>
            <w:tcW w:w="973" w:type="pct"/>
            <w:tcBorders>
              <w:top w:val="nil"/>
              <w:left w:val="nil"/>
              <w:bottom w:val="single" w:color="auto" w:sz="4" w:space="0"/>
              <w:right w:val="single" w:color="auto" w:sz="4" w:space="0"/>
            </w:tcBorders>
            <w:shd w:val="clear" w:color="000000" w:fill="FFFFFF"/>
            <w:vAlign w:val="center"/>
          </w:tcPr>
          <w:p w14:paraId="5A31D0D6">
            <w:pPr>
              <w:widowControl/>
              <w:jc w:val="center"/>
              <w:rPr>
                <w:rFonts w:ascii="宋体" w:hAnsi="宋体" w:eastAsia="宋体" w:cs="宋体"/>
                <w:color w:val="auto"/>
                <w:kern w:val="0"/>
                <w:sz w:val="22"/>
              </w:rPr>
            </w:pPr>
            <w:r>
              <w:rPr>
                <w:rFonts w:ascii="宋体" w:hAnsi="宋体" w:eastAsia="宋体" w:cs="宋体"/>
                <w:color w:val="auto"/>
                <w:kern w:val="0"/>
                <w:sz w:val="22"/>
              </w:rPr>
              <w:t>3年服务期</w:t>
            </w:r>
          </w:p>
        </w:tc>
      </w:tr>
      <w:tr w14:paraId="7A903926">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shd w:val="clear" w:color="000000" w:fill="FFFFFF"/>
            <w:vAlign w:val="center"/>
          </w:tcPr>
          <w:p w14:paraId="6CB2586B">
            <w:pPr>
              <w:widowControl/>
              <w:jc w:val="center"/>
              <w:rPr>
                <w:rFonts w:ascii="宋体" w:hAnsi="宋体" w:eastAsia="宋体" w:cs="宋体"/>
                <w:b/>
                <w:bCs/>
                <w:color w:val="auto"/>
                <w:kern w:val="0"/>
                <w:sz w:val="22"/>
              </w:rPr>
            </w:pPr>
            <w:r>
              <w:rPr>
                <w:rFonts w:ascii="宋体" w:hAnsi="宋体" w:eastAsia="宋体" w:cs="宋体"/>
                <w:b/>
                <w:bCs/>
                <w:color w:val="auto"/>
                <w:kern w:val="0"/>
                <w:sz w:val="22"/>
              </w:rPr>
              <w:t>8</w:t>
            </w:r>
          </w:p>
        </w:tc>
        <w:tc>
          <w:tcPr>
            <w:tcW w:w="1343" w:type="pct"/>
            <w:tcBorders>
              <w:top w:val="nil"/>
              <w:left w:val="nil"/>
              <w:bottom w:val="single" w:color="auto" w:sz="4" w:space="0"/>
              <w:right w:val="single" w:color="auto" w:sz="4" w:space="0"/>
            </w:tcBorders>
            <w:shd w:val="clear" w:color="000000" w:fill="FFFFFF"/>
            <w:vAlign w:val="center"/>
          </w:tcPr>
          <w:p w14:paraId="10F700ED">
            <w:pPr>
              <w:widowControl/>
              <w:jc w:val="center"/>
              <w:rPr>
                <w:rFonts w:ascii="宋体" w:hAnsi="宋体" w:eastAsia="宋体" w:cs="宋体"/>
                <w:color w:val="auto"/>
                <w:kern w:val="0"/>
                <w:sz w:val="22"/>
              </w:rPr>
            </w:pPr>
            <w:r>
              <w:rPr>
                <w:rFonts w:ascii="宋体" w:hAnsi="宋体" w:eastAsia="宋体" w:cs="宋体"/>
                <w:color w:val="auto"/>
                <w:kern w:val="0"/>
                <w:sz w:val="22"/>
              </w:rPr>
              <w:t>云数据库</w:t>
            </w:r>
          </w:p>
        </w:tc>
        <w:tc>
          <w:tcPr>
            <w:tcW w:w="1646" w:type="pct"/>
            <w:tcBorders>
              <w:top w:val="nil"/>
              <w:left w:val="nil"/>
              <w:bottom w:val="single" w:color="auto" w:sz="4" w:space="0"/>
              <w:right w:val="single" w:color="auto" w:sz="4" w:space="0"/>
            </w:tcBorders>
            <w:shd w:val="clear" w:color="000000" w:fill="FFFFFF"/>
            <w:vAlign w:val="center"/>
          </w:tcPr>
          <w:p w14:paraId="6EEB47E8">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shd w:val="clear" w:color="000000" w:fill="FFFFFF"/>
            <w:vAlign w:val="center"/>
          </w:tcPr>
          <w:p w14:paraId="533277E1">
            <w:pPr>
              <w:widowControl/>
              <w:jc w:val="center"/>
              <w:rPr>
                <w:rFonts w:ascii="宋体" w:hAnsi="宋体" w:eastAsia="宋体" w:cs="宋体"/>
                <w:color w:val="auto"/>
                <w:kern w:val="0"/>
                <w:sz w:val="22"/>
              </w:rPr>
            </w:pPr>
            <w:r>
              <w:rPr>
                <w:rFonts w:ascii="宋体" w:hAnsi="宋体" w:eastAsia="宋体" w:cs="宋体"/>
                <w:color w:val="auto"/>
                <w:kern w:val="0"/>
                <w:sz w:val="22"/>
              </w:rPr>
              <w:t>套</w:t>
            </w:r>
          </w:p>
        </w:tc>
        <w:tc>
          <w:tcPr>
            <w:tcW w:w="395" w:type="pct"/>
            <w:tcBorders>
              <w:top w:val="nil"/>
              <w:left w:val="nil"/>
              <w:bottom w:val="single" w:color="auto" w:sz="4" w:space="0"/>
              <w:right w:val="single" w:color="auto" w:sz="4" w:space="0"/>
            </w:tcBorders>
            <w:shd w:val="clear" w:color="000000" w:fill="FFFFFF"/>
            <w:vAlign w:val="center"/>
          </w:tcPr>
          <w:p w14:paraId="522DE275">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973" w:type="pct"/>
            <w:tcBorders>
              <w:top w:val="nil"/>
              <w:left w:val="nil"/>
              <w:bottom w:val="single" w:color="auto" w:sz="4" w:space="0"/>
              <w:right w:val="single" w:color="auto" w:sz="4" w:space="0"/>
            </w:tcBorders>
            <w:shd w:val="clear" w:color="000000" w:fill="FFFFFF"/>
            <w:vAlign w:val="center"/>
          </w:tcPr>
          <w:p w14:paraId="455575AD">
            <w:pPr>
              <w:widowControl/>
              <w:jc w:val="center"/>
              <w:rPr>
                <w:rFonts w:ascii="宋体" w:hAnsi="宋体" w:eastAsia="宋体" w:cs="宋体"/>
                <w:color w:val="auto"/>
                <w:kern w:val="0"/>
                <w:sz w:val="22"/>
              </w:rPr>
            </w:pPr>
            <w:r>
              <w:rPr>
                <w:rFonts w:ascii="宋体" w:hAnsi="宋体" w:eastAsia="宋体" w:cs="宋体"/>
                <w:color w:val="auto"/>
                <w:kern w:val="0"/>
                <w:sz w:val="22"/>
              </w:rPr>
              <w:t>3年服务期</w:t>
            </w:r>
          </w:p>
        </w:tc>
      </w:tr>
      <w:tr w14:paraId="1A9CF42B">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09ED55B4">
            <w:pPr>
              <w:widowControl/>
              <w:jc w:val="center"/>
              <w:rPr>
                <w:rFonts w:ascii="宋体" w:hAnsi="宋体" w:eastAsia="宋体" w:cs="宋体"/>
                <w:b/>
                <w:bCs/>
                <w:color w:val="auto"/>
                <w:kern w:val="0"/>
                <w:sz w:val="22"/>
              </w:rPr>
            </w:pPr>
            <w:r>
              <w:rPr>
                <w:rFonts w:ascii="宋体" w:hAnsi="宋体" w:eastAsia="宋体" w:cs="宋体"/>
                <w:b/>
                <w:bCs/>
                <w:color w:val="auto"/>
                <w:kern w:val="0"/>
                <w:sz w:val="22"/>
              </w:rPr>
              <w:t>9</w:t>
            </w:r>
          </w:p>
        </w:tc>
        <w:tc>
          <w:tcPr>
            <w:tcW w:w="1343" w:type="pct"/>
            <w:tcBorders>
              <w:top w:val="nil"/>
              <w:left w:val="nil"/>
              <w:bottom w:val="single" w:color="auto" w:sz="4" w:space="0"/>
              <w:right w:val="single" w:color="auto" w:sz="4" w:space="0"/>
            </w:tcBorders>
            <w:vAlign w:val="center"/>
          </w:tcPr>
          <w:p w14:paraId="70FD8745">
            <w:pPr>
              <w:widowControl/>
              <w:jc w:val="center"/>
              <w:rPr>
                <w:rFonts w:ascii="宋体" w:hAnsi="宋体" w:eastAsia="宋体" w:cs="宋体"/>
                <w:color w:val="auto"/>
                <w:kern w:val="0"/>
                <w:sz w:val="22"/>
              </w:rPr>
            </w:pPr>
            <w:r>
              <w:rPr>
                <w:rFonts w:ascii="宋体" w:hAnsi="宋体" w:eastAsia="宋体" w:cs="宋体"/>
                <w:color w:val="auto"/>
                <w:kern w:val="0"/>
                <w:sz w:val="22"/>
              </w:rPr>
              <w:t>报警音响</w:t>
            </w:r>
          </w:p>
        </w:tc>
        <w:tc>
          <w:tcPr>
            <w:tcW w:w="1646" w:type="pct"/>
            <w:tcBorders>
              <w:top w:val="nil"/>
              <w:left w:val="nil"/>
              <w:bottom w:val="single" w:color="auto" w:sz="4" w:space="0"/>
              <w:right w:val="single" w:color="auto" w:sz="4" w:space="0"/>
            </w:tcBorders>
            <w:vAlign w:val="center"/>
          </w:tcPr>
          <w:p w14:paraId="493B5AB3">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vAlign w:val="center"/>
          </w:tcPr>
          <w:p w14:paraId="05136FF4">
            <w:pPr>
              <w:widowControl/>
              <w:jc w:val="center"/>
              <w:rPr>
                <w:rFonts w:ascii="宋体" w:hAnsi="宋体" w:eastAsia="宋体" w:cs="宋体"/>
                <w:color w:val="auto"/>
                <w:kern w:val="0"/>
                <w:sz w:val="22"/>
              </w:rPr>
            </w:pPr>
            <w:r>
              <w:rPr>
                <w:rFonts w:ascii="宋体" w:hAnsi="宋体" w:eastAsia="宋体" w:cs="宋体"/>
                <w:color w:val="auto"/>
                <w:kern w:val="0"/>
                <w:sz w:val="22"/>
              </w:rPr>
              <w:t>套</w:t>
            </w:r>
          </w:p>
        </w:tc>
        <w:tc>
          <w:tcPr>
            <w:tcW w:w="395" w:type="pct"/>
            <w:tcBorders>
              <w:top w:val="nil"/>
              <w:left w:val="nil"/>
              <w:bottom w:val="single" w:color="auto" w:sz="4" w:space="0"/>
              <w:right w:val="single" w:color="auto" w:sz="4" w:space="0"/>
            </w:tcBorders>
            <w:vAlign w:val="center"/>
          </w:tcPr>
          <w:p w14:paraId="55BA9ED5">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973" w:type="pct"/>
            <w:tcBorders>
              <w:top w:val="nil"/>
              <w:left w:val="nil"/>
              <w:bottom w:val="single" w:color="auto" w:sz="4" w:space="0"/>
              <w:right w:val="single" w:color="auto" w:sz="4" w:space="0"/>
            </w:tcBorders>
            <w:vAlign w:val="center"/>
          </w:tcPr>
          <w:p w14:paraId="736C3E3F">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442D334B">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124FE413">
            <w:pPr>
              <w:widowControl/>
              <w:jc w:val="center"/>
              <w:rPr>
                <w:rFonts w:ascii="宋体" w:hAnsi="宋体" w:eastAsia="宋体" w:cs="宋体"/>
                <w:b/>
                <w:bCs/>
                <w:color w:val="auto"/>
                <w:kern w:val="0"/>
                <w:sz w:val="22"/>
              </w:rPr>
            </w:pPr>
            <w:r>
              <w:rPr>
                <w:rFonts w:ascii="宋体" w:hAnsi="宋体" w:eastAsia="宋体" w:cs="宋体"/>
                <w:b/>
                <w:bCs/>
                <w:color w:val="auto"/>
                <w:kern w:val="0"/>
                <w:sz w:val="22"/>
              </w:rPr>
              <w:t>10</w:t>
            </w:r>
          </w:p>
        </w:tc>
        <w:tc>
          <w:tcPr>
            <w:tcW w:w="1343" w:type="pct"/>
            <w:tcBorders>
              <w:top w:val="nil"/>
              <w:left w:val="nil"/>
              <w:bottom w:val="single" w:color="auto" w:sz="4" w:space="0"/>
              <w:right w:val="single" w:color="auto" w:sz="4" w:space="0"/>
            </w:tcBorders>
            <w:vAlign w:val="center"/>
          </w:tcPr>
          <w:p w14:paraId="1DED6733">
            <w:pPr>
              <w:widowControl/>
              <w:jc w:val="center"/>
              <w:rPr>
                <w:rFonts w:ascii="宋体" w:hAnsi="宋体" w:eastAsia="宋体" w:cs="宋体"/>
                <w:color w:val="auto"/>
                <w:kern w:val="0"/>
                <w:sz w:val="22"/>
              </w:rPr>
            </w:pPr>
            <w:r>
              <w:rPr>
                <w:rFonts w:ascii="宋体" w:hAnsi="宋体" w:eastAsia="宋体" w:cs="宋体"/>
                <w:color w:val="auto"/>
                <w:kern w:val="0"/>
                <w:sz w:val="22"/>
              </w:rPr>
              <w:t>A4激光打印机</w:t>
            </w:r>
          </w:p>
        </w:tc>
        <w:tc>
          <w:tcPr>
            <w:tcW w:w="1646" w:type="pct"/>
            <w:tcBorders>
              <w:top w:val="nil"/>
              <w:left w:val="nil"/>
              <w:bottom w:val="single" w:color="auto" w:sz="4" w:space="0"/>
              <w:right w:val="single" w:color="auto" w:sz="4" w:space="0"/>
            </w:tcBorders>
            <w:vAlign w:val="center"/>
          </w:tcPr>
          <w:p w14:paraId="379CCF24">
            <w:pPr>
              <w:widowControl/>
              <w:jc w:val="center"/>
              <w:rPr>
                <w:rFonts w:ascii="宋体" w:hAnsi="宋体" w:eastAsia="宋体" w:cs="宋体"/>
                <w:color w:val="auto"/>
                <w:kern w:val="0"/>
                <w:sz w:val="22"/>
              </w:rPr>
            </w:pPr>
            <w:r>
              <w:rPr>
                <w:rFonts w:ascii="宋体" w:hAnsi="宋体" w:eastAsia="宋体" w:cs="宋体"/>
                <w:color w:val="auto"/>
                <w:kern w:val="0"/>
                <w:sz w:val="22"/>
              </w:rPr>
              <w:t>A4</w:t>
            </w:r>
          </w:p>
        </w:tc>
        <w:tc>
          <w:tcPr>
            <w:tcW w:w="312" w:type="pct"/>
            <w:tcBorders>
              <w:top w:val="nil"/>
              <w:left w:val="nil"/>
              <w:bottom w:val="single" w:color="auto" w:sz="4" w:space="0"/>
              <w:right w:val="single" w:color="auto" w:sz="4" w:space="0"/>
            </w:tcBorders>
            <w:vAlign w:val="center"/>
          </w:tcPr>
          <w:p w14:paraId="15C37A16">
            <w:pPr>
              <w:widowControl/>
              <w:jc w:val="center"/>
              <w:rPr>
                <w:rFonts w:ascii="宋体" w:hAnsi="宋体" w:eastAsia="宋体" w:cs="宋体"/>
                <w:color w:val="auto"/>
                <w:kern w:val="0"/>
                <w:sz w:val="22"/>
              </w:rPr>
            </w:pPr>
            <w:r>
              <w:rPr>
                <w:rFonts w:ascii="宋体" w:hAnsi="宋体" w:eastAsia="宋体" w:cs="宋体"/>
                <w:color w:val="auto"/>
                <w:kern w:val="0"/>
                <w:sz w:val="22"/>
              </w:rPr>
              <w:t>台</w:t>
            </w:r>
          </w:p>
        </w:tc>
        <w:tc>
          <w:tcPr>
            <w:tcW w:w="395" w:type="pct"/>
            <w:tcBorders>
              <w:top w:val="nil"/>
              <w:left w:val="nil"/>
              <w:bottom w:val="single" w:color="auto" w:sz="4" w:space="0"/>
              <w:right w:val="single" w:color="auto" w:sz="4" w:space="0"/>
            </w:tcBorders>
            <w:vAlign w:val="center"/>
          </w:tcPr>
          <w:p w14:paraId="072F67F3">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973" w:type="pct"/>
            <w:tcBorders>
              <w:top w:val="nil"/>
              <w:left w:val="nil"/>
              <w:bottom w:val="single" w:color="auto" w:sz="4" w:space="0"/>
              <w:right w:val="single" w:color="auto" w:sz="4" w:space="0"/>
            </w:tcBorders>
            <w:vAlign w:val="center"/>
          </w:tcPr>
          <w:p w14:paraId="40B39378">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153310BB">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15158FC7">
            <w:pPr>
              <w:widowControl/>
              <w:jc w:val="center"/>
              <w:rPr>
                <w:rFonts w:ascii="宋体" w:hAnsi="宋体" w:eastAsia="宋体" w:cs="宋体"/>
                <w:b/>
                <w:bCs/>
                <w:color w:val="auto"/>
                <w:kern w:val="0"/>
                <w:sz w:val="22"/>
              </w:rPr>
            </w:pPr>
            <w:r>
              <w:rPr>
                <w:rFonts w:ascii="宋体" w:hAnsi="宋体" w:eastAsia="宋体" w:cs="宋体"/>
                <w:b/>
                <w:bCs/>
                <w:color w:val="auto"/>
                <w:kern w:val="0"/>
                <w:sz w:val="22"/>
              </w:rPr>
              <w:t>11</w:t>
            </w:r>
          </w:p>
        </w:tc>
        <w:tc>
          <w:tcPr>
            <w:tcW w:w="1343" w:type="pct"/>
            <w:tcBorders>
              <w:top w:val="nil"/>
              <w:left w:val="nil"/>
              <w:bottom w:val="single" w:color="auto" w:sz="4" w:space="0"/>
              <w:right w:val="single" w:color="auto" w:sz="4" w:space="0"/>
            </w:tcBorders>
            <w:vAlign w:val="center"/>
          </w:tcPr>
          <w:p w14:paraId="77397C5D">
            <w:pPr>
              <w:widowControl/>
              <w:jc w:val="center"/>
              <w:rPr>
                <w:rFonts w:ascii="宋体" w:hAnsi="宋体" w:eastAsia="宋体" w:cs="宋体"/>
                <w:color w:val="auto"/>
                <w:kern w:val="0"/>
                <w:sz w:val="22"/>
              </w:rPr>
            </w:pPr>
            <w:r>
              <w:rPr>
                <w:rFonts w:ascii="宋体" w:hAnsi="宋体" w:eastAsia="宋体" w:cs="宋体"/>
                <w:color w:val="auto"/>
                <w:kern w:val="0"/>
                <w:sz w:val="22"/>
              </w:rPr>
              <w:t>UPS电源</w:t>
            </w:r>
          </w:p>
        </w:tc>
        <w:tc>
          <w:tcPr>
            <w:tcW w:w="1646" w:type="pct"/>
            <w:tcBorders>
              <w:top w:val="nil"/>
              <w:left w:val="nil"/>
              <w:bottom w:val="single" w:color="auto" w:sz="4" w:space="0"/>
              <w:right w:val="single" w:color="auto" w:sz="4" w:space="0"/>
            </w:tcBorders>
            <w:vAlign w:val="center"/>
          </w:tcPr>
          <w:p w14:paraId="7364E907">
            <w:pPr>
              <w:widowControl/>
              <w:jc w:val="center"/>
              <w:rPr>
                <w:rFonts w:ascii="宋体" w:hAnsi="宋体" w:eastAsia="宋体" w:cs="宋体"/>
                <w:color w:val="auto"/>
                <w:kern w:val="0"/>
                <w:sz w:val="22"/>
              </w:rPr>
            </w:pPr>
            <w:r>
              <w:rPr>
                <w:rFonts w:ascii="宋体" w:hAnsi="宋体" w:eastAsia="宋体" w:cs="宋体"/>
                <w:color w:val="auto"/>
                <w:kern w:val="0"/>
                <w:sz w:val="22"/>
              </w:rPr>
              <w:t>3kVA/1H</w:t>
            </w:r>
          </w:p>
        </w:tc>
        <w:tc>
          <w:tcPr>
            <w:tcW w:w="312" w:type="pct"/>
            <w:tcBorders>
              <w:top w:val="nil"/>
              <w:left w:val="nil"/>
              <w:bottom w:val="single" w:color="auto" w:sz="4" w:space="0"/>
              <w:right w:val="single" w:color="auto" w:sz="4" w:space="0"/>
            </w:tcBorders>
            <w:vAlign w:val="center"/>
          </w:tcPr>
          <w:p w14:paraId="014CAB75">
            <w:pPr>
              <w:widowControl/>
              <w:jc w:val="center"/>
              <w:rPr>
                <w:rFonts w:ascii="宋体" w:hAnsi="宋体" w:eastAsia="宋体" w:cs="宋体"/>
                <w:color w:val="auto"/>
                <w:kern w:val="0"/>
                <w:sz w:val="22"/>
              </w:rPr>
            </w:pPr>
            <w:r>
              <w:rPr>
                <w:rFonts w:ascii="宋体" w:hAnsi="宋体" w:eastAsia="宋体" w:cs="宋体"/>
                <w:color w:val="auto"/>
                <w:kern w:val="0"/>
                <w:sz w:val="22"/>
              </w:rPr>
              <w:t>套</w:t>
            </w:r>
          </w:p>
        </w:tc>
        <w:tc>
          <w:tcPr>
            <w:tcW w:w="395" w:type="pct"/>
            <w:tcBorders>
              <w:top w:val="nil"/>
              <w:left w:val="nil"/>
              <w:bottom w:val="single" w:color="auto" w:sz="4" w:space="0"/>
              <w:right w:val="single" w:color="auto" w:sz="4" w:space="0"/>
            </w:tcBorders>
            <w:vAlign w:val="center"/>
          </w:tcPr>
          <w:p w14:paraId="755A48FE">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973" w:type="pct"/>
            <w:tcBorders>
              <w:top w:val="nil"/>
              <w:left w:val="nil"/>
              <w:bottom w:val="single" w:color="auto" w:sz="4" w:space="0"/>
              <w:right w:val="single" w:color="auto" w:sz="4" w:space="0"/>
            </w:tcBorders>
            <w:vAlign w:val="center"/>
          </w:tcPr>
          <w:p w14:paraId="23AF3FE6">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32AEDD09">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631595EC">
            <w:pPr>
              <w:widowControl/>
              <w:jc w:val="center"/>
              <w:rPr>
                <w:rFonts w:ascii="宋体" w:hAnsi="宋体" w:eastAsia="宋体" w:cs="宋体"/>
                <w:b/>
                <w:bCs/>
                <w:color w:val="auto"/>
                <w:kern w:val="0"/>
                <w:sz w:val="22"/>
              </w:rPr>
            </w:pPr>
            <w:r>
              <w:rPr>
                <w:rFonts w:ascii="宋体" w:hAnsi="宋体" w:eastAsia="宋体" w:cs="宋体"/>
                <w:b/>
                <w:bCs/>
                <w:color w:val="auto"/>
                <w:kern w:val="0"/>
                <w:sz w:val="22"/>
              </w:rPr>
              <w:t>12</w:t>
            </w:r>
          </w:p>
        </w:tc>
        <w:tc>
          <w:tcPr>
            <w:tcW w:w="1343" w:type="pct"/>
            <w:tcBorders>
              <w:top w:val="nil"/>
              <w:left w:val="nil"/>
              <w:bottom w:val="single" w:color="auto" w:sz="4" w:space="0"/>
              <w:right w:val="single" w:color="auto" w:sz="4" w:space="0"/>
            </w:tcBorders>
            <w:vAlign w:val="center"/>
          </w:tcPr>
          <w:p w14:paraId="4E255D38">
            <w:pPr>
              <w:widowControl/>
              <w:jc w:val="center"/>
              <w:rPr>
                <w:rFonts w:ascii="宋体" w:hAnsi="宋体" w:eastAsia="宋体" w:cs="宋体"/>
                <w:color w:val="auto"/>
                <w:kern w:val="0"/>
                <w:sz w:val="22"/>
              </w:rPr>
            </w:pPr>
            <w:r>
              <w:rPr>
                <w:rFonts w:ascii="宋体" w:hAnsi="宋体" w:eastAsia="宋体" w:cs="宋体"/>
                <w:color w:val="auto"/>
                <w:kern w:val="0"/>
                <w:sz w:val="22"/>
              </w:rPr>
              <w:t>四工位操作台椅</w:t>
            </w:r>
          </w:p>
        </w:tc>
        <w:tc>
          <w:tcPr>
            <w:tcW w:w="1646" w:type="pct"/>
            <w:tcBorders>
              <w:top w:val="nil"/>
              <w:left w:val="nil"/>
              <w:bottom w:val="single" w:color="auto" w:sz="4" w:space="0"/>
              <w:right w:val="single" w:color="auto" w:sz="4" w:space="0"/>
            </w:tcBorders>
            <w:vAlign w:val="center"/>
          </w:tcPr>
          <w:p w14:paraId="0A76090F">
            <w:pPr>
              <w:widowControl/>
              <w:jc w:val="center"/>
              <w:rPr>
                <w:rFonts w:ascii="宋体" w:hAnsi="宋体" w:eastAsia="宋体" w:cs="宋体"/>
                <w:color w:val="auto"/>
                <w:kern w:val="0"/>
                <w:sz w:val="22"/>
              </w:rPr>
            </w:pPr>
            <w:r>
              <w:rPr>
                <w:rFonts w:ascii="宋体" w:hAnsi="宋体" w:eastAsia="宋体" w:cs="宋体"/>
                <w:color w:val="auto"/>
                <w:kern w:val="0"/>
                <w:sz w:val="22"/>
              </w:rPr>
              <w:t>四工位操作台椅</w:t>
            </w:r>
          </w:p>
        </w:tc>
        <w:tc>
          <w:tcPr>
            <w:tcW w:w="312" w:type="pct"/>
            <w:tcBorders>
              <w:top w:val="nil"/>
              <w:left w:val="nil"/>
              <w:bottom w:val="single" w:color="auto" w:sz="4" w:space="0"/>
              <w:right w:val="single" w:color="auto" w:sz="4" w:space="0"/>
            </w:tcBorders>
            <w:vAlign w:val="center"/>
          </w:tcPr>
          <w:p w14:paraId="6D464483">
            <w:pPr>
              <w:widowControl/>
              <w:jc w:val="center"/>
              <w:rPr>
                <w:rFonts w:ascii="宋体" w:hAnsi="宋体" w:eastAsia="宋体" w:cs="宋体"/>
                <w:color w:val="auto"/>
                <w:kern w:val="0"/>
                <w:sz w:val="22"/>
              </w:rPr>
            </w:pPr>
            <w:r>
              <w:rPr>
                <w:rFonts w:ascii="宋体" w:hAnsi="宋体" w:eastAsia="宋体" w:cs="宋体"/>
                <w:color w:val="auto"/>
                <w:kern w:val="0"/>
                <w:sz w:val="22"/>
              </w:rPr>
              <w:t>台</w:t>
            </w:r>
          </w:p>
        </w:tc>
        <w:tc>
          <w:tcPr>
            <w:tcW w:w="395" w:type="pct"/>
            <w:tcBorders>
              <w:top w:val="nil"/>
              <w:left w:val="nil"/>
              <w:bottom w:val="single" w:color="auto" w:sz="4" w:space="0"/>
              <w:right w:val="single" w:color="auto" w:sz="4" w:space="0"/>
            </w:tcBorders>
            <w:vAlign w:val="center"/>
          </w:tcPr>
          <w:p w14:paraId="3BBF3B0B">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973" w:type="pct"/>
            <w:tcBorders>
              <w:top w:val="nil"/>
              <w:left w:val="nil"/>
              <w:bottom w:val="single" w:color="auto" w:sz="4" w:space="0"/>
              <w:right w:val="single" w:color="auto" w:sz="4" w:space="0"/>
            </w:tcBorders>
            <w:vAlign w:val="center"/>
          </w:tcPr>
          <w:p w14:paraId="3248ECBD">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5FAA66AB">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79627BF5">
            <w:pPr>
              <w:widowControl/>
              <w:jc w:val="center"/>
              <w:rPr>
                <w:rFonts w:ascii="宋体" w:hAnsi="宋体" w:eastAsia="宋体" w:cs="宋体"/>
                <w:b/>
                <w:bCs/>
                <w:color w:val="auto"/>
                <w:kern w:val="0"/>
                <w:sz w:val="22"/>
              </w:rPr>
            </w:pPr>
            <w:r>
              <w:rPr>
                <w:rFonts w:ascii="宋体" w:hAnsi="宋体" w:eastAsia="宋体" w:cs="宋体"/>
                <w:b/>
                <w:bCs/>
                <w:color w:val="auto"/>
                <w:kern w:val="0"/>
                <w:sz w:val="22"/>
              </w:rPr>
              <w:t>13</w:t>
            </w:r>
          </w:p>
        </w:tc>
        <w:tc>
          <w:tcPr>
            <w:tcW w:w="1343" w:type="pct"/>
            <w:tcBorders>
              <w:top w:val="nil"/>
              <w:left w:val="nil"/>
              <w:bottom w:val="single" w:color="auto" w:sz="4" w:space="0"/>
              <w:right w:val="single" w:color="auto" w:sz="4" w:space="0"/>
            </w:tcBorders>
            <w:vAlign w:val="center"/>
          </w:tcPr>
          <w:p w14:paraId="523A501A">
            <w:pPr>
              <w:widowControl/>
              <w:jc w:val="center"/>
              <w:rPr>
                <w:rFonts w:ascii="宋体" w:hAnsi="宋体" w:eastAsia="宋体" w:cs="宋体"/>
                <w:color w:val="auto"/>
                <w:kern w:val="0"/>
                <w:sz w:val="22"/>
              </w:rPr>
            </w:pPr>
            <w:r>
              <w:rPr>
                <w:rFonts w:ascii="宋体" w:hAnsi="宋体" w:eastAsia="宋体" w:cs="宋体"/>
                <w:color w:val="auto"/>
                <w:kern w:val="0"/>
                <w:sz w:val="22"/>
              </w:rPr>
              <w:t>通讯线</w:t>
            </w:r>
          </w:p>
        </w:tc>
        <w:tc>
          <w:tcPr>
            <w:tcW w:w="1646" w:type="pct"/>
            <w:tcBorders>
              <w:top w:val="nil"/>
              <w:left w:val="nil"/>
              <w:bottom w:val="single" w:color="auto" w:sz="4" w:space="0"/>
              <w:right w:val="single" w:color="auto" w:sz="4" w:space="0"/>
            </w:tcBorders>
            <w:vAlign w:val="center"/>
          </w:tcPr>
          <w:p w14:paraId="221FD714">
            <w:pPr>
              <w:widowControl/>
              <w:jc w:val="center"/>
              <w:rPr>
                <w:rFonts w:ascii="宋体" w:hAnsi="宋体" w:eastAsia="宋体" w:cs="宋体"/>
                <w:color w:val="auto"/>
                <w:kern w:val="0"/>
                <w:sz w:val="22"/>
              </w:rPr>
            </w:pPr>
            <w:r>
              <w:rPr>
                <w:rFonts w:ascii="宋体" w:hAnsi="宋体" w:eastAsia="宋体" w:cs="宋体"/>
                <w:color w:val="auto"/>
                <w:kern w:val="0"/>
                <w:sz w:val="22"/>
              </w:rPr>
              <w:t>RVVSP 2*0.75</w:t>
            </w:r>
          </w:p>
        </w:tc>
        <w:tc>
          <w:tcPr>
            <w:tcW w:w="312" w:type="pct"/>
            <w:tcBorders>
              <w:top w:val="nil"/>
              <w:left w:val="nil"/>
              <w:bottom w:val="single" w:color="auto" w:sz="4" w:space="0"/>
              <w:right w:val="single" w:color="auto" w:sz="4" w:space="0"/>
            </w:tcBorders>
            <w:vAlign w:val="center"/>
          </w:tcPr>
          <w:p w14:paraId="3A8AE7BE">
            <w:pPr>
              <w:widowControl/>
              <w:jc w:val="center"/>
              <w:rPr>
                <w:rFonts w:ascii="宋体" w:hAnsi="宋体" w:eastAsia="宋体" w:cs="宋体"/>
                <w:color w:val="auto"/>
                <w:kern w:val="0"/>
                <w:sz w:val="22"/>
              </w:rPr>
            </w:pPr>
            <w:r>
              <w:rPr>
                <w:rFonts w:ascii="宋体" w:hAnsi="宋体" w:eastAsia="宋体" w:cs="宋体"/>
                <w:color w:val="auto"/>
                <w:kern w:val="0"/>
                <w:sz w:val="22"/>
              </w:rPr>
              <w:t>米</w:t>
            </w:r>
          </w:p>
        </w:tc>
        <w:tc>
          <w:tcPr>
            <w:tcW w:w="395" w:type="pct"/>
            <w:tcBorders>
              <w:top w:val="nil"/>
              <w:left w:val="nil"/>
              <w:bottom w:val="single" w:color="auto" w:sz="4" w:space="0"/>
              <w:right w:val="single" w:color="auto" w:sz="4" w:space="0"/>
            </w:tcBorders>
            <w:vAlign w:val="center"/>
          </w:tcPr>
          <w:p w14:paraId="7DE936D1">
            <w:pPr>
              <w:widowControl/>
              <w:jc w:val="center"/>
              <w:rPr>
                <w:rFonts w:ascii="宋体" w:hAnsi="宋体" w:eastAsia="宋体" w:cs="宋体"/>
                <w:color w:val="auto"/>
                <w:kern w:val="0"/>
                <w:sz w:val="22"/>
              </w:rPr>
            </w:pPr>
            <w:r>
              <w:rPr>
                <w:rFonts w:ascii="宋体" w:hAnsi="宋体" w:eastAsia="宋体" w:cs="宋体"/>
                <w:color w:val="auto"/>
                <w:kern w:val="0"/>
                <w:sz w:val="22"/>
              </w:rPr>
              <w:t>1000</w:t>
            </w:r>
          </w:p>
        </w:tc>
        <w:tc>
          <w:tcPr>
            <w:tcW w:w="973" w:type="pct"/>
            <w:tcBorders>
              <w:top w:val="nil"/>
              <w:left w:val="nil"/>
              <w:bottom w:val="single" w:color="auto" w:sz="4" w:space="0"/>
              <w:right w:val="single" w:color="auto" w:sz="4" w:space="0"/>
            </w:tcBorders>
            <w:vAlign w:val="center"/>
          </w:tcPr>
          <w:p w14:paraId="76E8E51C">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395B6D34">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2731A5EF">
            <w:pPr>
              <w:widowControl/>
              <w:jc w:val="center"/>
              <w:rPr>
                <w:rFonts w:ascii="宋体" w:hAnsi="宋体" w:eastAsia="宋体" w:cs="宋体"/>
                <w:b/>
                <w:bCs/>
                <w:color w:val="auto"/>
                <w:kern w:val="0"/>
                <w:sz w:val="22"/>
              </w:rPr>
            </w:pPr>
            <w:r>
              <w:rPr>
                <w:rFonts w:ascii="宋体" w:hAnsi="宋体" w:eastAsia="宋体" w:cs="宋体"/>
                <w:b/>
                <w:bCs/>
                <w:color w:val="auto"/>
                <w:kern w:val="0"/>
                <w:sz w:val="22"/>
              </w:rPr>
              <w:t>14</w:t>
            </w:r>
          </w:p>
        </w:tc>
        <w:tc>
          <w:tcPr>
            <w:tcW w:w="1343" w:type="pct"/>
            <w:tcBorders>
              <w:top w:val="nil"/>
              <w:left w:val="nil"/>
              <w:bottom w:val="single" w:color="auto" w:sz="4" w:space="0"/>
              <w:right w:val="single" w:color="auto" w:sz="4" w:space="0"/>
            </w:tcBorders>
            <w:vAlign w:val="center"/>
          </w:tcPr>
          <w:p w14:paraId="36B7864F">
            <w:pPr>
              <w:widowControl/>
              <w:jc w:val="center"/>
              <w:rPr>
                <w:rFonts w:ascii="宋体" w:hAnsi="宋体" w:eastAsia="宋体" w:cs="宋体"/>
                <w:color w:val="auto"/>
                <w:kern w:val="0"/>
                <w:sz w:val="22"/>
              </w:rPr>
            </w:pPr>
            <w:r>
              <w:rPr>
                <w:rFonts w:ascii="宋体" w:hAnsi="宋体" w:eastAsia="宋体" w:cs="宋体"/>
                <w:color w:val="auto"/>
                <w:kern w:val="0"/>
                <w:sz w:val="22"/>
              </w:rPr>
              <w:t>超五类屏蔽网线</w:t>
            </w:r>
          </w:p>
        </w:tc>
        <w:tc>
          <w:tcPr>
            <w:tcW w:w="1646" w:type="pct"/>
            <w:tcBorders>
              <w:top w:val="nil"/>
              <w:left w:val="nil"/>
              <w:bottom w:val="single" w:color="auto" w:sz="4" w:space="0"/>
              <w:right w:val="single" w:color="auto" w:sz="4" w:space="0"/>
            </w:tcBorders>
            <w:vAlign w:val="center"/>
          </w:tcPr>
          <w:p w14:paraId="39A85F4A">
            <w:pPr>
              <w:widowControl/>
              <w:jc w:val="center"/>
              <w:rPr>
                <w:rFonts w:ascii="宋体" w:hAnsi="宋体" w:eastAsia="宋体" w:cs="宋体"/>
                <w:color w:val="auto"/>
                <w:kern w:val="0"/>
                <w:sz w:val="22"/>
              </w:rPr>
            </w:pPr>
            <w:r>
              <w:rPr>
                <w:rFonts w:ascii="宋体" w:hAnsi="宋体" w:eastAsia="宋体" w:cs="宋体"/>
                <w:color w:val="auto"/>
                <w:kern w:val="0"/>
                <w:sz w:val="22"/>
              </w:rPr>
              <w:t>HSYVP5e 4*2*0.5 （305米/箱）</w:t>
            </w:r>
          </w:p>
        </w:tc>
        <w:tc>
          <w:tcPr>
            <w:tcW w:w="312" w:type="pct"/>
            <w:tcBorders>
              <w:top w:val="nil"/>
              <w:left w:val="nil"/>
              <w:bottom w:val="single" w:color="auto" w:sz="4" w:space="0"/>
              <w:right w:val="single" w:color="auto" w:sz="4" w:space="0"/>
            </w:tcBorders>
            <w:vAlign w:val="center"/>
          </w:tcPr>
          <w:p w14:paraId="0B5C6484">
            <w:pPr>
              <w:widowControl/>
              <w:jc w:val="center"/>
              <w:rPr>
                <w:rFonts w:ascii="宋体" w:hAnsi="宋体" w:eastAsia="宋体" w:cs="宋体"/>
                <w:color w:val="auto"/>
                <w:kern w:val="0"/>
                <w:sz w:val="22"/>
              </w:rPr>
            </w:pPr>
            <w:r>
              <w:rPr>
                <w:rFonts w:ascii="宋体" w:hAnsi="宋体" w:eastAsia="宋体" w:cs="宋体"/>
                <w:color w:val="auto"/>
                <w:kern w:val="0"/>
                <w:sz w:val="22"/>
              </w:rPr>
              <w:t>箱</w:t>
            </w:r>
          </w:p>
        </w:tc>
        <w:tc>
          <w:tcPr>
            <w:tcW w:w="395" w:type="pct"/>
            <w:tcBorders>
              <w:top w:val="nil"/>
              <w:left w:val="nil"/>
              <w:bottom w:val="single" w:color="auto" w:sz="4" w:space="0"/>
              <w:right w:val="single" w:color="auto" w:sz="4" w:space="0"/>
            </w:tcBorders>
            <w:vAlign w:val="center"/>
          </w:tcPr>
          <w:p w14:paraId="7288CC21">
            <w:pPr>
              <w:widowControl/>
              <w:jc w:val="center"/>
              <w:rPr>
                <w:rFonts w:ascii="宋体" w:hAnsi="宋体" w:eastAsia="宋体" w:cs="宋体"/>
                <w:color w:val="auto"/>
                <w:kern w:val="0"/>
                <w:sz w:val="22"/>
              </w:rPr>
            </w:pPr>
            <w:r>
              <w:rPr>
                <w:rFonts w:ascii="宋体" w:hAnsi="宋体" w:eastAsia="宋体" w:cs="宋体"/>
                <w:color w:val="auto"/>
                <w:kern w:val="0"/>
                <w:sz w:val="22"/>
              </w:rPr>
              <w:t>3</w:t>
            </w:r>
          </w:p>
        </w:tc>
        <w:tc>
          <w:tcPr>
            <w:tcW w:w="973" w:type="pct"/>
            <w:tcBorders>
              <w:top w:val="nil"/>
              <w:left w:val="nil"/>
              <w:bottom w:val="single" w:color="auto" w:sz="4" w:space="0"/>
              <w:right w:val="single" w:color="auto" w:sz="4" w:space="0"/>
            </w:tcBorders>
            <w:vAlign w:val="center"/>
          </w:tcPr>
          <w:p w14:paraId="050C0654">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3CA72264">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03792F92">
            <w:pPr>
              <w:widowControl/>
              <w:jc w:val="center"/>
              <w:rPr>
                <w:rFonts w:ascii="宋体" w:hAnsi="宋体" w:eastAsia="宋体" w:cs="宋体"/>
                <w:b/>
                <w:bCs/>
                <w:color w:val="auto"/>
                <w:kern w:val="0"/>
                <w:sz w:val="22"/>
              </w:rPr>
            </w:pPr>
            <w:r>
              <w:rPr>
                <w:rFonts w:ascii="宋体" w:hAnsi="宋体" w:eastAsia="宋体" w:cs="宋体"/>
                <w:b/>
                <w:bCs/>
                <w:color w:val="auto"/>
                <w:kern w:val="0"/>
                <w:sz w:val="22"/>
              </w:rPr>
              <w:t>15</w:t>
            </w:r>
          </w:p>
        </w:tc>
        <w:tc>
          <w:tcPr>
            <w:tcW w:w="1343" w:type="pct"/>
            <w:tcBorders>
              <w:top w:val="nil"/>
              <w:left w:val="nil"/>
              <w:bottom w:val="single" w:color="auto" w:sz="4" w:space="0"/>
              <w:right w:val="single" w:color="auto" w:sz="4" w:space="0"/>
            </w:tcBorders>
            <w:vAlign w:val="center"/>
          </w:tcPr>
          <w:p w14:paraId="5B22B90C">
            <w:pPr>
              <w:widowControl/>
              <w:jc w:val="center"/>
              <w:rPr>
                <w:rFonts w:ascii="宋体" w:hAnsi="宋体" w:eastAsia="宋体" w:cs="宋体"/>
                <w:color w:val="auto"/>
                <w:kern w:val="0"/>
                <w:sz w:val="22"/>
              </w:rPr>
            </w:pPr>
            <w:r>
              <w:rPr>
                <w:rFonts w:ascii="宋体" w:hAnsi="宋体" w:eastAsia="宋体" w:cs="宋体"/>
                <w:color w:val="auto"/>
                <w:kern w:val="0"/>
                <w:sz w:val="22"/>
              </w:rPr>
              <w:t>系统调试服务费</w:t>
            </w:r>
          </w:p>
        </w:tc>
        <w:tc>
          <w:tcPr>
            <w:tcW w:w="1646" w:type="pct"/>
            <w:tcBorders>
              <w:top w:val="nil"/>
              <w:left w:val="nil"/>
              <w:bottom w:val="single" w:color="auto" w:sz="4" w:space="0"/>
              <w:right w:val="single" w:color="auto" w:sz="4" w:space="0"/>
            </w:tcBorders>
            <w:vAlign w:val="center"/>
          </w:tcPr>
          <w:p w14:paraId="5E21E65C">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vAlign w:val="center"/>
          </w:tcPr>
          <w:p w14:paraId="558F51EE">
            <w:pPr>
              <w:widowControl/>
              <w:jc w:val="center"/>
              <w:rPr>
                <w:rFonts w:ascii="宋体" w:hAnsi="宋体" w:eastAsia="宋体" w:cs="宋体"/>
                <w:color w:val="auto"/>
                <w:kern w:val="0"/>
                <w:sz w:val="22"/>
              </w:rPr>
            </w:pPr>
            <w:r>
              <w:rPr>
                <w:rFonts w:ascii="宋体" w:hAnsi="宋体" w:eastAsia="宋体" w:cs="宋体"/>
                <w:color w:val="auto"/>
                <w:kern w:val="0"/>
                <w:sz w:val="22"/>
              </w:rPr>
              <w:t>项</w:t>
            </w:r>
          </w:p>
        </w:tc>
        <w:tc>
          <w:tcPr>
            <w:tcW w:w="395" w:type="pct"/>
            <w:tcBorders>
              <w:top w:val="nil"/>
              <w:left w:val="nil"/>
              <w:bottom w:val="single" w:color="auto" w:sz="4" w:space="0"/>
              <w:right w:val="single" w:color="auto" w:sz="4" w:space="0"/>
            </w:tcBorders>
            <w:vAlign w:val="center"/>
          </w:tcPr>
          <w:p w14:paraId="7646F09F">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973" w:type="pct"/>
            <w:tcBorders>
              <w:top w:val="nil"/>
              <w:left w:val="nil"/>
              <w:bottom w:val="single" w:color="auto" w:sz="4" w:space="0"/>
              <w:right w:val="single" w:color="auto" w:sz="4" w:space="0"/>
            </w:tcBorders>
            <w:vAlign w:val="center"/>
          </w:tcPr>
          <w:p w14:paraId="1A8A09D0">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26AE8C1F">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11629542">
            <w:pPr>
              <w:widowControl/>
              <w:jc w:val="center"/>
              <w:rPr>
                <w:rFonts w:ascii="宋体" w:hAnsi="宋体" w:eastAsia="宋体" w:cs="宋体"/>
                <w:b/>
                <w:bCs/>
                <w:color w:val="auto"/>
                <w:kern w:val="0"/>
                <w:sz w:val="22"/>
              </w:rPr>
            </w:pPr>
            <w:r>
              <w:rPr>
                <w:rFonts w:ascii="宋体" w:hAnsi="宋体" w:eastAsia="宋体" w:cs="宋体"/>
                <w:b/>
                <w:bCs/>
                <w:color w:val="auto"/>
                <w:kern w:val="0"/>
                <w:sz w:val="22"/>
              </w:rPr>
              <w:t>二</w:t>
            </w:r>
          </w:p>
        </w:tc>
        <w:tc>
          <w:tcPr>
            <w:tcW w:w="3696" w:type="pct"/>
            <w:gridSpan w:val="4"/>
            <w:tcBorders>
              <w:top w:val="single" w:color="auto" w:sz="4" w:space="0"/>
              <w:left w:val="nil"/>
              <w:bottom w:val="single" w:color="auto" w:sz="4" w:space="0"/>
              <w:right w:val="single" w:color="auto" w:sz="4" w:space="0"/>
            </w:tcBorders>
            <w:vAlign w:val="center"/>
          </w:tcPr>
          <w:p w14:paraId="0E04B17D">
            <w:pPr>
              <w:widowControl/>
              <w:jc w:val="center"/>
              <w:rPr>
                <w:rFonts w:ascii="宋体" w:hAnsi="宋体" w:eastAsia="宋体" w:cs="宋体"/>
                <w:b/>
                <w:bCs/>
                <w:color w:val="auto"/>
                <w:kern w:val="0"/>
                <w:sz w:val="22"/>
              </w:rPr>
            </w:pPr>
            <w:r>
              <w:rPr>
                <w:rFonts w:ascii="宋体" w:hAnsi="宋体" w:eastAsia="宋体" w:cs="宋体"/>
                <w:b/>
                <w:bCs/>
                <w:color w:val="auto"/>
                <w:kern w:val="0"/>
                <w:sz w:val="22"/>
              </w:rPr>
              <w:t xml:space="preserve">    电力监控装置</w:t>
            </w:r>
          </w:p>
        </w:tc>
        <w:tc>
          <w:tcPr>
            <w:tcW w:w="973" w:type="pct"/>
            <w:tcBorders>
              <w:top w:val="nil"/>
              <w:left w:val="nil"/>
              <w:bottom w:val="single" w:color="auto" w:sz="4" w:space="0"/>
              <w:right w:val="single" w:color="auto" w:sz="4" w:space="0"/>
            </w:tcBorders>
            <w:vAlign w:val="bottom"/>
          </w:tcPr>
          <w:p w14:paraId="6519B7D6">
            <w:pPr>
              <w:widowControl/>
              <w:jc w:val="left"/>
              <w:rPr>
                <w:rFonts w:ascii="等线" w:hAnsi="等线" w:eastAsia="等线" w:cs="宋体"/>
                <w:color w:val="auto"/>
                <w:kern w:val="0"/>
                <w:sz w:val="22"/>
              </w:rPr>
            </w:pPr>
            <w:r>
              <w:rPr>
                <w:rFonts w:ascii="等线" w:hAnsi="等线" w:eastAsia="等线" w:cs="宋体"/>
                <w:color w:val="auto"/>
                <w:kern w:val="0"/>
                <w:sz w:val="22"/>
              </w:rPr>
              <w:t>　</w:t>
            </w:r>
          </w:p>
        </w:tc>
      </w:tr>
      <w:tr w14:paraId="6DE17D35">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11425303">
            <w:pPr>
              <w:widowControl/>
              <w:jc w:val="center"/>
              <w:rPr>
                <w:rFonts w:ascii="宋体" w:hAnsi="宋体" w:eastAsia="宋体" w:cs="宋体"/>
                <w:b/>
                <w:bCs/>
                <w:color w:val="auto"/>
                <w:kern w:val="0"/>
                <w:sz w:val="22"/>
              </w:rPr>
            </w:pPr>
            <w:r>
              <w:rPr>
                <w:rFonts w:ascii="宋体" w:hAnsi="宋体" w:eastAsia="宋体" w:cs="宋体"/>
                <w:b/>
                <w:bCs/>
                <w:color w:val="auto"/>
                <w:kern w:val="0"/>
                <w:sz w:val="22"/>
              </w:rPr>
              <w:t>1</w:t>
            </w:r>
          </w:p>
        </w:tc>
        <w:tc>
          <w:tcPr>
            <w:tcW w:w="3696" w:type="pct"/>
            <w:gridSpan w:val="4"/>
            <w:tcBorders>
              <w:top w:val="single" w:color="auto" w:sz="4" w:space="0"/>
              <w:left w:val="nil"/>
              <w:bottom w:val="single" w:color="auto" w:sz="4" w:space="0"/>
              <w:right w:val="single" w:color="auto" w:sz="4" w:space="0"/>
            </w:tcBorders>
            <w:vAlign w:val="center"/>
          </w:tcPr>
          <w:p w14:paraId="38775416">
            <w:pPr>
              <w:widowControl/>
              <w:jc w:val="center"/>
              <w:rPr>
                <w:rFonts w:ascii="宋体" w:hAnsi="宋体" w:eastAsia="宋体" w:cs="宋体"/>
                <w:b/>
                <w:bCs/>
                <w:color w:val="auto"/>
                <w:kern w:val="0"/>
                <w:sz w:val="22"/>
              </w:rPr>
            </w:pPr>
            <w:r>
              <w:rPr>
                <w:rFonts w:ascii="宋体" w:hAnsi="宋体" w:eastAsia="宋体" w:cs="宋体"/>
                <w:b/>
                <w:bCs/>
                <w:color w:val="auto"/>
                <w:kern w:val="0"/>
                <w:sz w:val="22"/>
              </w:rPr>
              <w:t>配电箱漏电保护装置</w:t>
            </w:r>
          </w:p>
        </w:tc>
        <w:tc>
          <w:tcPr>
            <w:tcW w:w="973" w:type="pct"/>
            <w:tcBorders>
              <w:top w:val="nil"/>
              <w:left w:val="nil"/>
              <w:bottom w:val="single" w:color="auto" w:sz="4" w:space="0"/>
              <w:right w:val="single" w:color="auto" w:sz="4" w:space="0"/>
            </w:tcBorders>
            <w:vAlign w:val="bottom"/>
          </w:tcPr>
          <w:p w14:paraId="54E19A18">
            <w:pPr>
              <w:widowControl/>
              <w:jc w:val="left"/>
              <w:rPr>
                <w:rFonts w:ascii="等线" w:hAnsi="等线" w:eastAsia="等线" w:cs="宋体"/>
                <w:color w:val="auto"/>
                <w:kern w:val="0"/>
                <w:sz w:val="22"/>
              </w:rPr>
            </w:pPr>
            <w:r>
              <w:rPr>
                <w:rFonts w:ascii="等线" w:hAnsi="等线" w:eastAsia="等线" w:cs="宋体"/>
                <w:color w:val="auto"/>
                <w:kern w:val="0"/>
                <w:sz w:val="22"/>
              </w:rPr>
              <w:t>　</w:t>
            </w:r>
          </w:p>
        </w:tc>
      </w:tr>
      <w:tr w14:paraId="392B029B">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7E8D4912">
            <w:pPr>
              <w:widowControl/>
              <w:jc w:val="center"/>
              <w:rPr>
                <w:rFonts w:ascii="宋体" w:hAnsi="宋体" w:eastAsia="宋体" w:cs="宋体"/>
                <w:b/>
                <w:bCs/>
                <w:color w:val="auto"/>
                <w:kern w:val="0"/>
                <w:sz w:val="22"/>
              </w:rPr>
            </w:pPr>
            <w:r>
              <w:rPr>
                <w:rFonts w:ascii="宋体" w:hAnsi="宋体" w:eastAsia="宋体" w:cs="宋体"/>
                <w:b/>
                <w:bCs/>
                <w:color w:val="auto"/>
                <w:kern w:val="0"/>
                <w:sz w:val="22"/>
              </w:rPr>
              <w:t>1.1</w:t>
            </w:r>
          </w:p>
        </w:tc>
        <w:tc>
          <w:tcPr>
            <w:tcW w:w="3696" w:type="pct"/>
            <w:gridSpan w:val="4"/>
            <w:tcBorders>
              <w:top w:val="single" w:color="auto" w:sz="4" w:space="0"/>
              <w:left w:val="nil"/>
              <w:bottom w:val="single" w:color="auto" w:sz="4" w:space="0"/>
              <w:right w:val="single" w:color="auto" w:sz="4" w:space="0"/>
            </w:tcBorders>
            <w:vAlign w:val="center"/>
          </w:tcPr>
          <w:p w14:paraId="0D392A42">
            <w:pPr>
              <w:widowControl/>
              <w:jc w:val="center"/>
              <w:rPr>
                <w:rFonts w:ascii="宋体" w:hAnsi="宋体" w:eastAsia="宋体" w:cs="宋体"/>
                <w:b/>
                <w:bCs/>
                <w:color w:val="auto"/>
                <w:kern w:val="0"/>
                <w:sz w:val="22"/>
              </w:rPr>
            </w:pPr>
            <w:r>
              <w:rPr>
                <w:rFonts w:ascii="宋体" w:hAnsi="宋体" w:eastAsia="宋体" w:cs="宋体"/>
                <w:b/>
                <w:bCs/>
                <w:color w:val="auto"/>
                <w:kern w:val="0"/>
                <w:sz w:val="22"/>
              </w:rPr>
              <w:t>1号楼1-10楼</w:t>
            </w:r>
          </w:p>
        </w:tc>
        <w:tc>
          <w:tcPr>
            <w:tcW w:w="973" w:type="pct"/>
            <w:tcBorders>
              <w:top w:val="nil"/>
              <w:left w:val="nil"/>
              <w:bottom w:val="single" w:color="auto" w:sz="4" w:space="0"/>
              <w:right w:val="single" w:color="auto" w:sz="4" w:space="0"/>
            </w:tcBorders>
            <w:vAlign w:val="bottom"/>
          </w:tcPr>
          <w:p w14:paraId="6516DD0C">
            <w:pPr>
              <w:widowControl/>
              <w:jc w:val="left"/>
              <w:rPr>
                <w:rFonts w:ascii="等线" w:hAnsi="等线" w:eastAsia="等线" w:cs="宋体"/>
                <w:color w:val="auto"/>
                <w:kern w:val="0"/>
                <w:sz w:val="22"/>
              </w:rPr>
            </w:pPr>
            <w:r>
              <w:rPr>
                <w:rFonts w:ascii="等线" w:hAnsi="等线" w:eastAsia="等线" w:cs="宋体"/>
                <w:color w:val="auto"/>
                <w:kern w:val="0"/>
                <w:sz w:val="22"/>
              </w:rPr>
              <w:t>　</w:t>
            </w:r>
          </w:p>
        </w:tc>
      </w:tr>
      <w:tr w14:paraId="02EECCE1">
        <w:tblPrEx>
          <w:tblCellMar>
            <w:top w:w="0" w:type="dxa"/>
            <w:left w:w="108" w:type="dxa"/>
            <w:bottom w:w="0" w:type="dxa"/>
            <w:right w:w="108" w:type="dxa"/>
          </w:tblCellMar>
        </w:tblPrEx>
        <w:trPr>
          <w:trHeight w:val="576" w:hRule="atLeast"/>
        </w:trPr>
        <w:tc>
          <w:tcPr>
            <w:tcW w:w="331" w:type="pct"/>
            <w:tcBorders>
              <w:top w:val="nil"/>
              <w:left w:val="single" w:color="auto" w:sz="4" w:space="0"/>
              <w:bottom w:val="single" w:color="auto" w:sz="4" w:space="0"/>
              <w:right w:val="single" w:color="auto" w:sz="4" w:space="0"/>
            </w:tcBorders>
            <w:vAlign w:val="center"/>
          </w:tcPr>
          <w:p w14:paraId="420FC7B4">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1343" w:type="pct"/>
            <w:tcBorders>
              <w:top w:val="nil"/>
              <w:left w:val="nil"/>
              <w:bottom w:val="single" w:color="auto" w:sz="4" w:space="0"/>
              <w:right w:val="single" w:color="auto" w:sz="4" w:space="0"/>
            </w:tcBorders>
            <w:vAlign w:val="center"/>
          </w:tcPr>
          <w:p w14:paraId="726D2499">
            <w:pPr>
              <w:widowControl/>
              <w:jc w:val="center"/>
              <w:rPr>
                <w:rFonts w:ascii="宋体" w:hAnsi="宋体" w:eastAsia="宋体" w:cs="宋体"/>
                <w:color w:val="auto"/>
                <w:kern w:val="0"/>
                <w:sz w:val="22"/>
              </w:rPr>
            </w:pPr>
            <w:r>
              <w:rPr>
                <w:rFonts w:ascii="宋体" w:hAnsi="宋体" w:eastAsia="宋体" w:cs="宋体"/>
                <w:color w:val="auto"/>
                <w:kern w:val="0"/>
                <w:sz w:val="22"/>
              </w:rPr>
              <w:t>智能三相剩余电流动作继电器（4G机械款）</w:t>
            </w:r>
          </w:p>
        </w:tc>
        <w:tc>
          <w:tcPr>
            <w:tcW w:w="1646" w:type="pct"/>
            <w:tcBorders>
              <w:top w:val="nil"/>
              <w:left w:val="nil"/>
              <w:bottom w:val="single" w:color="auto" w:sz="4" w:space="0"/>
              <w:right w:val="single" w:color="auto" w:sz="4" w:space="0"/>
            </w:tcBorders>
            <w:vAlign w:val="center"/>
          </w:tcPr>
          <w:p w14:paraId="6021E41C">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vAlign w:val="center"/>
          </w:tcPr>
          <w:p w14:paraId="0F3900FC">
            <w:pPr>
              <w:widowControl/>
              <w:jc w:val="center"/>
              <w:rPr>
                <w:rFonts w:ascii="宋体" w:hAnsi="宋体" w:eastAsia="宋体" w:cs="宋体"/>
                <w:color w:val="auto"/>
                <w:kern w:val="0"/>
                <w:sz w:val="22"/>
              </w:rPr>
            </w:pPr>
            <w:r>
              <w:rPr>
                <w:rFonts w:ascii="宋体" w:hAnsi="宋体" w:eastAsia="宋体" w:cs="宋体"/>
                <w:color w:val="auto"/>
                <w:kern w:val="0"/>
                <w:sz w:val="22"/>
              </w:rPr>
              <w:t>个</w:t>
            </w:r>
          </w:p>
        </w:tc>
        <w:tc>
          <w:tcPr>
            <w:tcW w:w="395" w:type="pct"/>
            <w:tcBorders>
              <w:top w:val="nil"/>
              <w:left w:val="nil"/>
              <w:bottom w:val="single" w:color="auto" w:sz="4" w:space="0"/>
              <w:right w:val="single" w:color="auto" w:sz="4" w:space="0"/>
            </w:tcBorders>
            <w:vAlign w:val="center"/>
          </w:tcPr>
          <w:p w14:paraId="18E76BDC">
            <w:pPr>
              <w:widowControl/>
              <w:jc w:val="center"/>
              <w:rPr>
                <w:rFonts w:ascii="宋体" w:hAnsi="宋体" w:eastAsia="宋体" w:cs="宋体"/>
                <w:color w:val="auto"/>
                <w:kern w:val="0"/>
                <w:sz w:val="22"/>
              </w:rPr>
            </w:pPr>
            <w:r>
              <w:rPr>
                <w:rFonts w:ascii="宋体" w:hAnsi="宋体" w:eastAsia="宋体" w:cs="宋体"/>
                <w:color w:val="auto"/>
                <w:kern w:val="0"/>
                <w:sz w:val="22"/>
              </w:rPr>
              <w:t>33</w:t>
            </w:r>
          </w:p>
        </w:tc>
        <w:tc>
          <w:tcPr>
            <w:tcW w:w="973" w:type="pct"/>
            <w:tcBorders>
              <w:top w:val="nil"/>
              <w:left w:val="nil"/>
              <w:bottom w:val="single" w:color="auto" w:sz="4" w:space="0"/>
              <w:right w:val="single" w:color="auto" w:sz="4" w:space="0"/>
            </w:tcBorders>
            <w:vAlign w:val="center"/>
          </w:tcPr>
          <w:p w14:paraId="0121A620">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151067B2">
        <w:tblPrEx>
          <w:tblCellMar>
            <w:top w:w="0" w:type="dxa"/>
            <w:left w:w="108" w:type="dxa"/>
            <w:bottom w:w="0" w:type="dxa"/>
            <w:right w:w="108" w:type="dxa"/>
          </w:tblCellMar>
        </w:tblPrEx>
        <w:trPr>
          <w:trHeight w:val="660" w:hRule="atLeast"/>
        </w:trPr>
        <w:tc>
          <w:tcPr>
            <w:tcW w:w="331" w:type="pct"/>
            <w:vMerge w:val="restart"/>
            <w:tcBorders>
              <w:top w:val="nil"/>
              <w:left w:val="single" w:color="auto" w:sz="4" w:space="0"/>
              <w:bottom w:val="single" w:color="000000" w:sz="4" w:space="0"/>
              <w:right w:val="single" w:color="auto" w:sz="4" w:space="0"/>
            </w:tcBorders>
            <w:vAlign w:val="center"/>
          </w:tcPr>
          <w:p w14:paraId="1E369082">
            <w:pPr>
              <w:widowControl/>
              <w:jc w:val="center"/>
              <w:rPr>
                <w:rFonts w:ascii="宋体" w:hAnsi="宋体" w:eastAsia="宋体" w:cs="宋体"/>
                <w:color w:val="auto"/>
                <w:kern w:val="0"/>
                <w:sz w:val="22"/>
              </w:rPr>
            </w:pPr>
            <w:r>
              <w:rPr>
                <w:rFonts w:ascii="宋体" w:hAnsi="宋体" w:eastAsia="宋体" w:cs="宋体"/>
                <w:color w:val="auto"/>
                <w:kern w:val="0"/>
                <w:sz w:val="22"/>
              </w:rPr>
              <w:t>(2)</w:t>
            </w:r>
          </w:p>
        </w:tc>
        <w:tc>
          <w:tcPr>
            <w:tcW w:w="1343" w:type="pct"/>
            <w:vMerge w:val="restart"/>
            <w:tcBorders>
              <w:top w:val="nil"/>
              <w:left w:val="single" w:color="auto" w:sz="4" w:space="0"/>
              <w:bottom w:val="single" w:color="000000" w:sz="4" w:space="0"/>
              <w:right w:val="single" w:color="auto" w:sz="4" w:space="0"/>
            </w:tcBorders>
            <w:vAlign w:val="center"/>
          </w:tcPr>
          <w:p w14:paraId="2E52961E">
            <w:pPr>
              <w:widowControl/>
              <w:jc w:val="center"/>
              <w:rPr>
                <w:rFonts w:ascii="宋体" w:hAnsi="宋体" w:eastAsia="宋体" w:cs="宋体"/>
                <w:color w:val="auto"/>
                <w:kern w:val="0"/>
                <w:sz w:val="22"/>
              </w:rPr>
            </w:pPr>
            <w:r>
              <w:rPr>
                <w:rFonts w:ascii="宋体" w:hAnsi="宋体" w:eastAsia="宋体" w:cs="宋体"/>
                <w:color w:val="auto"/>
                <w:kern w:val="0"/>
                <w:sz w:val="22"/>
              </w:rPr>
              <w:t>智能三相塑壳继电器</w:t>
            </w:r>
            <w:r>
              <w:rPr>
                <w:rFonts w:ascii="宋体" w:hAnsi="宋体" w:eastAsia="宋体" w:cs="宋体"/>
                <w:color w:val="auto"/>
                <w:kern w:val="0"/>
                <w:sz w:val="22"/>
              </w:rPr>
              <w:br w:type="textWrapping"/>
            </w:r>
            <w:r>
              <w:rPr>
                <w:rFonts w:ascii="宋体" w:hAnsi="宋体" w:eastAsia="宋体" w:cs="宋体"/>
                <w:color w:val="auto"/>
                <w:kern w:val="0"/>
                <w:sz w:val="22"/>
              </w:rPr>
              <w:t>（4G版本）</w:t>
            </w:r>
          </w:p>
        </w:tc>
        <w:tc>
          <w:tcPr>
            <w:tcW w:w="1646" w:type="pct"/>
            <w:tcBorders>
              <w:top w:val="nil"/>
              <w:left w:val="nil"/>
              <w:bottom w:val="single" w:color="auto" w:sz="4" w:space="0"/>
              <w:right w:val="single" w:color="auto" w:sz="4" w:space="0"/>
            </w:tcBorders>
            <w:vAlign w:val="center"/>
          </w:tcPr>
          <w:p w14:paraId="3155C1A5">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vAlign w:val="center"/>
          </w:tcPr>
          <w:p w14:paraId="41F2B6BD">
            <w:pPr>
              <w:widowControl/>
              <w:jc w:val="center"/>
              <w:rPr>
                <w:rFonts w:ascii="宋体" w:hAnsi="宋体" w:eastAsia="宋体" w:cs="宋体"/>
                <w:color w:val="auto"/>
                <w:kern w:val="0"/>
                <w:sz w:val="22"/>
              </w:rPr>
            </w:pPr>
            <w:r>
              <w:rPr>
                <w:rFonts w:ascii="宋体" w:hAnsi="宋体" w:eastAsia="宋体" w:cs="宋体"/>
                <w:color w:val="auto"/>
                <w:kern w:val="0"/>
                <w:sz w:val="22"/>
              </w:rPr>
              <w:t>个</w:t>
            </w:r>
          </w:p>
        </w:tc>
        <w:tc>
          <w:tcPr>
            <w:tcW w:w="395" w:type="pct"/>
            <w:tcBorders>
              <w:top w:val="nil"/>
              <w:left w:val="nil"/>
              <w:bottom w:val="single" w:color="auto" w:sz="4" w:space="0"/>
              <w:right w:val="single" w:color="auto" w:sz="4" w:space="0"/>
            </w:tcBorders>
            <w:vAlign w:val="center"/>
          </w:tcPr>
          <w:p w14:paraId="1759400D">
            <w:pPr>
              <w:widowControl/>
              <w:jc w:val="center"/>
              <w:rPr>
                <w:rFonts w:ascii="宋体" w:hAnsi="宋体" w:eastAsia="宋体" w:cs="宋体"/>
                <w:color w:val="auto"/>
                <w:kern w:val="0"/>
                <w:sz w:val="22"/>
              </w:rPr>
            </w:pPr>
            <w:r>
              <w:rPr>
                <w:rFonts w:ascii="宋体" w:hAnsi="宋体" w:eastAsia="宋体" w:cs="宋体"/>
                <w:color w:val="auto"/>
                <w:kern w:val="0"/>
                <w:sz w:val="22"/>
              </w:rPr>
              <w:t>37</w:t>
            </w:r>
          </w:p>
        </w:tc>
        <w:tc>
          <w:tcPr>
            <w:tcW w:w="973" w:type="pct"/>
            <w:tcBorders>
              <w:top w:val="nil"/>
              <w:left w:val="nil"/>
              <w:bottom w:val="single" w:color="auto" w:sz="4" w:space="0"/>
              <w:right w:val="single" w:color="auto" w:sz="4" w:space="0"/>
            </w:tcBorders>
            <w:vAlign w:val="center"/>
          </w:tcPr>
          <w:p w14:paraId="55FAE42D">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560515B3">
        <w:tblPrEx>
          <w:tblCellMar>
            <w:top w:w="0" w:type="dxa"/>
            <w:left w:w="108" w:type="dxa"/>
            <w:bottom w:w="0" w:type="dxa"/>
            <w:right w:w="108" w:type="dxa"/>
          </w:tblCellMar>
        </w:tblPrEx>
        <w:trPr>
          <w:trHeight w:val="660" w:hRule="atLeast"/>
        </w:trPr>
        <w:tc>
          <w:tcPr>
            <w:tcW w:w="331" w:type="pct"/>
            <w:vMerge w:val="continue"/>
            <w:tcBorders>
              <w:top w:val="nil"/>
              <w:left w:val="single" w:color="auto" w:sz="4" w:space="0"/>
              <w:bottom w:val="single" w:color="000000" w:sz="4" w:space="0"/>
              <w:right w:val="single" w:color="auto" w:sz="4" w:space="0"/>
            </w:tcBorders>
            <w:vAlign w:val="center"/>
          </w:tcPr>
          <w:p w14:paraId="3166C6DF">
            <w:pPr>
              <w:widowControl/>
              <w:jc w:val="left"/>
              <w:rPr>
                <w:rFonts w:ascii="宋体" w:hAnsi="宋体" w:eastAsia="宋体" w:cs="宋体"/>
                <w:color w:val="auto"/>
                <w:kern w:val="0"/>
                <w:sz w:val="22"/>
              </w:rPr>
            </w:pPr>
          </w:p>
        </w:tc>
        <w:tc>
          <w:tcPr>
            <w:tcW w:w="1343" w:type="pct"/>
            <w:vMerge w:val="continue"/>
            <w:tcBorders>
              <w:top w:val="nil"/>
              <w:left w:val="single" w:color="auto" w:sz="4" w:space="0"/>
              <w:bottom w:val="single" w:color="000000" w:sz="4" w:space="0"/>
              <w:right w:val="single" w:color="auto" w:sz="4" w:space="0"/>
            </w:tcBorders>
            <w:vAlign w:val="center"/>
          </w:tcPr>
          <w:p w14:paraId="4EE81D1F">
            <w:pPr>
              <w:widowControl/>
              <w:jc w:val="left"/>
              <w:rPr>
                <w:rFonts w:ascii="宋体" w:hAnsi="宋体" w:eastAsia="宋体" w:cs="宋体"/>
                <w:color w:val="auto"/>
                <w:kern w:val="0"/>
                <w:sz w:val="22"/>
              </w:rPr>
            </w:pPr>
          </w:p>
        </w:tc>
        <w:tc>
          <w:tcPr>
            <w:tcW w:w="1646" w:type="pct"/>
            <w:tcBorders>
              <w:top w:val="nil"/>
              <w:left w:val="nil"/>
              <w:bottom w:val="single" w:color="auto" w:sz="4" w:space="0"/>
              <w:right w:val="single" w:color="auto" w:sz="4" w:space="0"/>
            </w:tcBorders>
            <w:vAlign w:val="center"/>
          </w:tcPr>
          <w:p w14:paraId="39B20C5F">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vAlign w:val="center"/>
          </w:tcPr>
          <w:p w14:paraId="7E9177BE">
            <w:pPr>
              <w:widowControl/>
              <w:jc w:val="center"/>
              <w:rPr>
                <w:rFonts w:ascii="宋体" w:hAnsi="宋体" w:eastAsia="宋体" w:cs="宋体"/>
                <w:color w:val="auto"/>
                <w:kern w:val="0"/>
                <w:sz w:val="22"/>
              </w:rPr>
            </w:pPr>
            <w:r>
              <w:rPr>
                <w:rFonts w:ascii="宋体" w:hAnsi="宋体" w:eastAsia="宋体" w:cs="宋体"/>
                <w:color w:val="auto"/>
                <w:kern w:val="0"/>
                <w:sz w:val="22"/>
              </w:rPr>
              <w:t>个</w:t>
            </w:r>
          </w:p>
        </w:tc>
        <w:tc>
          <w:tcPr>
            <w:tcW w:w="395" w:type="pct"/>
            <w:tcBorders>
              <w:top w:val="nil"/>
              <w:left w:val="nil"/>
              <w:bottom w:val="single" w:color="auto" w:sz="4" w:space="0"/>
              <w:right w:val="single" w:color="auto" w:sz="4" w:space="0"/>
            </w:tcBorders>
            <w:vAlign w:val="center"/>
          </w:tcPr>
          <w:p w14:paraId="2DABAF0F">
            <w:pPr>
              <w:widowControl/>
              <w:jc w:val="center"/>
              <w:rPr>
                <w:rFonts w:ascii="宋体" w:hAnsi="宋体" w:eastAsia="宋体" w:cs="宋体"/>
                <w:color w:val="auto"/>
                <w:kern w:val="0"/>
                <w:sz w:val="22"/>
              </w:rPr>
            </w:pPr>
            <w:r>
              <w:rPr>
                <w:rFonts w:ascii="宋体" w:hAnsi="宋体" w:eastAsia="宋体" w:cs="宋体"/>
                <w:color w:val="auto"/>
                <w:kern w:val="0"/>
                <w:sz w:val="22"/>
              </w:rPr>
              <w:t>11</w:t>
            </w:r>
          </w:p>
        </w:tc>
        <w:tc>
          <w:tcPr>
            <w:tcW w:w="973" w:type="pct"/>
            <w:tcBorders>
              <w:top w:val="nil"/>
              <w:left w:val="nil"/>
              <w:bottom w:val="single" w:color="auto" w:sz="4" w:space="0"/>
              <w:right w:val="single" w:color="auto" w:sz="4" w:space="0"/>
            </w:tcBorders>
            <w:vAlign w:val="center"/>
          </w:tcPr>
          <w:p w14:paraId="2E678FD1">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4A294000">
        <w:tblPrEx>
          <w:tblCellMar>
            <w:top w:w="0" w:type="dxa"/>
            <w:left w:w="108" w:type="dxa"/>
            <w:bottom w:w="0" w:type="dxa"/>
            <w:right w:w="108" w:type="dxa"/>
          </w:tblCellMar>
        </w:tblPrEx>
        <w:trPr>
          <w:trHeight w:val="432" w:hRule="atLeast"/>
        </w:trPr>
        <w:tc>
          <w:tcPr>
            <w:tcW w:w="331" w:type="pct"/>
            <w:tcBorders>
              <w:top w:val="nil"/>
              <w:left w:val="single" w:color="auto" w:sz="4" w:space="0"/>
              <w:bottom w:val="single" w:color="auto" w:sz="4" w:space="0"/>
              <w:right w:val="single" w:color="auto" w:sz="4" w:space="0"/>
            </w:tcBorders>
            <w:vAlign w:val="center"/>
          </w:tcPr>
          <w:p w14:paraId="1C1E4687">
            <w:pPr>
              <w:widowControl/>
              <w:jc w:val="center"/>
              <w:rPr>
                <w:rFonts w:ascii="宋体" w:hAnsi="宋体" w:eastAsia="宋体" w:cs="宋体"/>
                <w:color w:val="auto"/>
                <w:kern w:val="0"/>
                <w:sz w:val="22"/>
              </w:rPr>
            </w:pPr>
            <w:r>
              <w:rPr>
                <w:rFonts w:ascii="宋体" w:hAnsi="宋体" w:eastAsia="宋体" w:cs="宋体"/>
                <w:color w:val="auto"/>
                <w:kern w:val="0"/>
                <w:sz w:val="22"/>
              </w:rPr>
              <w:t>(3)</w:t>
            </w:r>
          </w:p>
        </w:tc>
        <w:tc>
          <w:tcPr>
            <w:tcW w:w="1343" w:type="pct"/>
            <w:tcBorders>
              <w:top w:val="nil"/>
              <w:left w:val="nil"/>
              <w:bottom w:val="single" w:color="auto" w:sz="4" w:space="0"/>
              <w:right w:val="single" w:color="auto" w:sz="4" w:space="0"/>
            </w:tcBorders>
            <w:vAlign w:val="center"/>
          </w:tcPr>
          <w:p w14:paraId="50845BFE">
            <w:pPr>
              <w:widowControl/>
              <w:jc w:val="center"/>
              <w:rPr>
                <w:rFonts w:ascii="宋体" w:hAnsi="宋体" w:eastAsia="宋体" w:cs="宋体"/>
                <w:color w:val="auto"/>
                <w:kern w:val="0"/>
                <w:sz w:val="22"/>
              </w:rPr>
            </w:pPr>
            <w:r>
              <w:rPr>
                <w:rFonts w:ascii="宋体" w:hAnsi="宋体" w:eastAsia="宋体" w:cs="宋体"/>
                <w:color w:val="auto"/>
                <w:kern w:val="0"/>
                <w:sz w:val="22"/>
              </w:rPr>
              <w:t>数据通讯</w:t>
            </w:r>
          </w:p>
        </w:tc>
        <w:tc>
          <w:tcPr>
            <w:tcW w:w="1646" w:type="pct"/>
            <w:tcBorders>
              <w:top w:val="nil"/>
              <w:left w:val="nil"/>
              <w:bottom w:val="single" w:color="auto" w:sz="4" w:space="0"/>
              <w:right w:val="single" w:color="auto" w:sz="4" w:space="0"/>
            </w:tcBorders>
            <w:vAlign w:val="center"/>
          </w:tcPr>
          <w:p w14:paraId="00CA0CE6">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vAlign w:val="center"/>
          </w:tcPr>
          <w:p w14:paraId="625D7D10">
            <w:pPr>
              <w:widowControl/>
              <w:jc w:val="center"/>
              <w:rPr>
                <w:rFonts w:ascii="宋体" w:hAnsi="宋体" w:eastAsia="宋体" w:cs="宋体"/>
                <w:color w:val="auto"/>
                <w:kern w:val="0"/>
                <w:sz w:val="22"/>
              </w:rPr>
            </w:pPr>
            <w:r>
              <w:rPr>
                <w:rFonts w:ascii="宋体" w:hAnsi="宋体" w:eastAsia="宋体" w:cs="宋体"/>
                <w:color w:val="auto"/>
                <w:kern w:val="0"/>
                <w:sz w:val="22"/>
              </w:rPr>
              <w:t>套</w:t>
            </w:r>
          </w:p>
        </w:tc>
        <w:tc>
          <w:tcPr>
            <w:tcW w:w="395" w:type="pct"/>
            <w:tcBorders>
              <w:top w:val="nil"/>
              <w:left w:val="nil"/>
              <w:bottom w:val="single" w:color="auto" w:sz="4" w:space="0"/>
              <w:right w:val="single" w:color="auto" w:sz="4" w:space="0"/>
            </w:tcBorders>
            <w:vAlign w:val="center"/>
          </w:tcPr>
          <w:p w14:paraId="3793C0C8">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973" w:type="pct"/>
            <w:tcBorders>
              <w:top w:val="nil"/>
              <w:left w:val="nil"/>
              <w:bottom w:val="single" w:color="auto" w:sz="4" w:space="0"/>
              <w:right w:val="single" w:color="auto" w:sz="4" w:space="0"/>
            </w:tcBorders>
            <w:vAlign w:val="center"/>
          </w:tcPr>
          <w:p w14:paraId="3A578229">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5A40DEF9">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2B89296D">
            <w:pPr>
              <w:widowControl/>
              <w:jc w:val="center"/>
              <w:rPr>
                <w:rFonts w:ascii="宋体" w:hAnsi="宋体" w:eastAsia="宋体" w:cs="宋体"/>
                <w:b/>
                <w:bCs/>
                <w:color w:val="auto"/>
                <w:kern w:val="0"/>
                <w:sz w:val="22"/>
              </w:rPr>
            </w:pPr>
            <w:r>
              <w:rPr>
                <w:rFonts w:ascii="宋体" w:hAnsi="宋体" w:eastAsia="宋体" w:cs="宋体"/>
                <w:b/>
                <w:bCs/>
                <w:color w:val="auto"/>
                <w:kern w:val="0"/>
                <w:sz w:val="22"/>
              </w:rPr>
              <w:t>1.2</w:t>
            </w:r>
          </w:p>
        </w:tc>
        <w:tc>
          <w:tcPr>
            <w:tcW w:w="3696" w:type="pct"/>
            <w:gridSpan w:val="4"/>
            <w:tcBorders>
              <w:top w:val="single" w:color="auto" w:sz="4" w:space="0"/>
              <w:left w:val="nil"/>
              <w:bottom w:val="single" w:color="auto" w:sz="4" w:space="0"/>
              <w:right w:val="single" w:color="auto" w:sz="4" w:space="0"/>
            </w:tcBorders>
            <w:vAlign w:val="center"/>
          </w:tcPr>
          <w:p w14:paraId="480703E1">
            <w:pPr>
              <w:widowControl/>
              <w:jc w:val="center"/>
              <w:rPr>
                <w:rFonts w:ascii="宋体" w:hAnsi="宋体" w:eastAsia="宋体" w:cs="宋体"/>
                <w:b/>
                <w:bCs/>
                <w:color w:val="auto"/>
                <w:kern w:val="0"/>
                <w:sz w:val="22"/>
              </w:rPr>
            </w:pPr>
            <w:r>
              <w:rPr>
                <w:rFonts w:ascii="宋体" w:hAnsi="宋体" w:eastAsia="宋体" w:cs="宋体"/>
                <w:b/>
                <w:bCs/>
                <w:color w:val="auto"/>
                <w:kern w:val="0"/>
                <w:sz w:val="22"/>
              </w:rPr>
              <w:t>2号楼1-9楼</w:t>
            </w:r>
          </w:p>
        </w:tc>
        <w:tc>
          <w:tcPr>
            <w:tcW w:w="973" w:type="pct"/>
            <w:tcBorders>
              <w:top w:val="nil"/>
              <w:left w:val="nil"/>
              <w:bottom w:val="single" w:color="auto" w:sz="4" w:space="0"/>
              <w:right w:val="single" w:color="auto" w:sz="4" w:space="0"/>
            </w:tcBorders>
            <w:vAlign w:val="bottom"/>
          </w:tcPr>
          <w:p w14:paraId="502C9AF1">
            <w:pPr>
              <w:widowControl/>
              <w:jc w:val="left"/>
              <w:rPr>
                <w:rFonts w:ascii="等线" w:hAnsi="等线" w:eastAsia="等线" w:cs="宋体"/>
                <w:color w:val="auto"/>
                <w:kern w:val="0"/>
                <w:sz w:val="22"/>
              </w:rPr>
            </w:pPr>
            <w:r>
              <w:rPr>
                <w:rFonts w:ascii="等线" w:hAnsi="等线" w:eastAsia="等线" w:cs="宋体"/>
                <w:color w:val="auto"/>
                <w:kern w:val="0"/>
                <w:sz w:val="22"/>
              </w:rPr>
              <w:t>　</w:t>
            </w:r>
          </w:p>
        </w:tc>
      </w:tr>
      <w:tr w14:paraId="3DC64A4C">
        <w:tblPrEx>
          <w:tblCellMar>
            <w:top w:w="0" w:type="dxa"/>
            <w:left w:w="108" w:type="dxa"/>
            <w:bottom w:w="0" w:type="dxa"/>
            <w:right w:w="108" w:type="dxa"/>
          </w:tblCellMar>
        </w:tblPrEx>
        <w:trPr>
          <w:trHeight w:val="660" w:hRule="atLeast"/>
        </w:trPr>
        <w:tc>
          <w:tcPr>
            <w:tcW w:w="331" w:type="pct"/>
            <w:tcBorders>
              <w:top w:val="nil"/>
              <w:left w:val="single" w:color="auto" w:sz="4" w:space="0"/>
              <w:bottom w:val="single" w:color="auto" w:sz="4" w:space="0"/>
              <w:right w:val="single" w:color="auto" w:sz="4" w:space="0"/>
            </w:tcBorders>
            <w:vAlign w:val="center"/>
          </w:tcPr>
          <w:p w14:paraId="05B6E4FB">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1343" w:type="pct"/>
            <w:tcBorders>
              <w:top w:val="nil"/>
              <w:left w:val="nil"/>
              <w:bottom w:val="single" w:color="auto" w:sz="4" w:space="0"/>
              <w:right w:val="single" w:color="auto" w:sz="4" w:space="0"/>
            </w:tcBorders>
            <w:vAlign w:val="center"/>
          </w:tcPr>
          <w:p w14:paraId="547B2196">
            <w:pPr>
              <w:widowControl/>
              <w:jc w:val="center"/>
              <w:rPr>
                <w:rFonts w:ascii="宋体" w:hAnsi="宋体" w:eastAsia="宋体" w:cs="宋体"/>
                <w:color w:val="auto"/>
                <w:kern w:val="0"/>
                <w:sz w:val="22"/>
              </w:rPr>
            </w:pPr>
            <w:r>
              <w:rPr>
                <w:rFonts w:ascii="宋体" w:hAnsi="宋体" w:eastAsia="宋体" w:cs="宋体"/>
                <w:color w:val="auto"/>
                <w:kern w:val="0"/>
                <w:sz w:val="22"/>
              </w:rPr>
              <w:t>智能单相剩余电流动作继电器（4G机械款）</w:t>
            </w:r>
          </w:p>
        </w:tc>
        <w:tc>
          <w:tcPr>
            <w:tcW w:w="1646" w:type="pct"/>
            <w:tcBorders>
              <w:top w:val="nil"/>
              <w:left w:val="nil"/>
              <w:bottom w:val="single" w:color="auto" w:sz="4" w:space="0"/>
              <w:right w:val="single" w:color="auto" w:sz="4" w:space="0"/>
            </w:tcBorders>
            <w:vAlign w:val="center"/>
          </w:tcPr>
          <w:p w14:paraId="12C45E5F">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vAlign w:val="center"/>
          </w:tcPr>
          <w:p w14:paraId="1265250D">
            <w:pPr>
              <w:widowControl/>
              <w:jc w:val="center"/>
              <w:rPr>
                <w:rFonts w:ascii="宋体" w:hAnsi="宋体" w:eastAsia="宋体" w:cs="宋体"/>
                <w:color w:val="auto"/>
                <w:kern w:val="0"/>
                <w:sz w:val="22"/>
              </w:rPr>
            </w:pPr>
            <w:r>
              <w:rPr>
                <w:rFonts w:ascii="宋体" w:hAnsi="宋体" w:eastAsia="宋体" w:cs="宋体"/>
                <w:color w:val="auto"/>
                <w:kern w:val="0"/>
                <w:sz w:val="22"/>
              </w:rPr>
              <w:t>个</w:t>
            </w:r>
          </w:p>
        </w:tc>
        <w:tc>
          <w:tcPr>
            <w:tcW w:w="395" w:type="pct"/>
            <w:tcBorders>
              <w:top w:val="nil"/>
              <w:left w:val="nil"/>
              <w:bottom w:val="single" w:color="auto" w:sz="4" w:space="0"/>
              <w:right w:val="single" w:color="auto" w:sz="4" w:space="0"/>
            </w:tcBorders>
            <w:vAlign w:val="center"/>
          </w:tcPr>
          <w:p w14:paraId="4D4B2296">
            <w:pPr>
              <w:widowControl/>
              <w:jc w:val="center"/>
              <w:rPr>
                <w:rFonts w:ascii="宋体" w:hAnsi="宋体" w:eastAsia="宋体" w:cs="宋体"/>
                <w:color w:val="auto"/>
                <w:kern w:val="0"/>
                <w:sz w:val="22"/>
              </w:rPr>
            </w:pPr>
            <w:r>
              <w:rPr>
                <w:rFonts w:ascii="宋体" w:hAnsi="宋体" w:eastAsia="宋体" w:cs="宋体"/>
                <w:color w:val="auto"/>
                <w:kern w:val="0"/>
                <w:sz w:val="22"/>
              </w:rPr>
              <w:t>100</w:t>
            </w:r>
          </w:p>
        </w:tc>
        <w:tc>
          <w:tcPr>
            <w:tcW w:w="973" w:type="pct"/>
            <w:tcBorders>
              <w:top w:val="nil"/>
              <w:left w:val="nil"/>
              <w:bottom w:val="single" w:color="auto" w:sz="4" w:space="0"/>
              <w:right w:val="single" w:color="auto" w:sz="4" w:space="0"/>
            </w:tcBorders>
            <w:vAlign w:val="center"/>
          </w:tcPr>
          <w:p w14:paraId="567ABD8A">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13223BB7">
        <w:tblPrEx>
          <w:tblCellMar>
            <w:top w:w="0" w:type="dxa"/>
            <w:left w:w="108" w:type="dxa"/>
            <w:bottom w:w="0" w:type="dxa"/>
            <w:right w:w="108" w:type="dxa"/>
          </w:tblCellMar>
        </w:tblPrEx>
        <w:trPr>
          <w:trHeight w:val="660" w:hRule="atLeast"/>
        </w:trPr>
        <w:tc>
          <w:tcPr>
            <w:tcW w:w="331" w:type="pct"/>
            <w:tcBorders>
              <w:top w:val="nil"/>
              <w:left w:val="single" w:color="auto" w:sz="4" w:space="0"/>
              <w:bottom w:val="single" w:color="auto" w:sz="4" w:space="0"/>
              <w:right w:val="single" w:color="auto" w:sz="4" w:space="0"/>
            </w:tcBorders>
            <w:vAlign w:val="center"/>
          </w:tcPr>
          <w:p w14:paraId="7B1D266A">
            <w:pPr>
              <w:widowControl/>
              <w:jc w:val="center"/>
              <w:rPr>
                <w:rFonts w:ascii="宋体" w:hAnsi="宋体" w:eastAsia="宋体" w:cs="宋体"/>
                <w:color w:val="auto"/>
                <w:kern w:val="0"/>
                <w:sz w:val="22"/>
              </w:rPr>
            </w:pPr>
            <w:r>
              <w:rPr>
                <w:rFonts w:ascii="宋体" w:hAnsi="宋体" w:eastAsia="宋体" w:cs="宋体"/>
                <w:color w:val="auto"/>
                <w:kern w:val="0"/>
                <w:sz w:val="22"/>
              </w:rPr>
              <w:t>(2)</w:t>
            </w:r>
          </w:p>
        </w:tc>
        <w:tc>
          <w:tcPr>
            <w:tcW w:w="1343" w:type="pct"/>
            <w:tcBorders>
              <w:top w:val="nil"/>
              <w:left w:val="nil"/>
              <w:bottom w:val="single" w:color="auto" w:sz="4" w:space="0"/>
              <w:right w:val="single" w:color="auto" w:sz="4" w:space="0"/>
            </w:tcBorders>
            <w:vAlign w:val="center"/>
          </w:tcPr>
          <w:p w14:paraId="2857A46C">
            <w:pPr>
              <w:widowControl/>
              <w:jc w:val="center"/>
              <w:rPr>
                <w:rFonts w:ascii="宋体" w:hAnsi="宋体" w:eastAsia="宋体" w:cs="宋体"/>
                <w:color w:val="auto"/>
                <w:kern w:val="0"/>
                <w:sz w:val="22"/>
              </w:rPr>
            </w:pPr>
            <w:r>
              <w:rPr>
                <w:rFonts w:ascii="宋体" w:hAnsi="宋体" w:eastAsia="宋体" w:cs="宋体"/>
                <w:color w:val="auto"/>
                <w:kern w:val="0"/>
                <w:sz w:val="22"/>
              </w:rPr>
              <w:t>智能三相剩余电流动作继电器（4G机械款）</w:t>
            </w:r>
          </w:p>
        </w:tc>
        <w:tc>
          <w:tcPr>
            <w:tcW w:w="1646" w:type="pct"/>
            <w:tcBorders>
              <w:top w:val="nil"/>
              <w:left w:val="nil"/>
              <w:bottom w:val="single" w:color="auto" w:sz="4" w:space="0"/>
              <w:right w:val="single" w:color="auto" w:sz="4" w:space="0"/>
            </w:tcBorders>
            <w:vAlign w:val="center"/>
          </w:tcPr>
          <w:p w14:paraId="454B9D13">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vAlign w:val="center"/>
          </w:tcPr>
          <w:p w14:paraId="00D5B394">
            <w:pPr>
              <w:widowControl/>
              <w:jc w:val="center"/>
              <w:rPr>
                <w:rFonts w:ascii="宋体" w:hAnsi="宋体" w:eastAsia="宋体" w:cs="宋体"/>
                <w:color w:val="auto"/>
                <w:kern w:val="0"/>
                <w:sz w:val="22"/>
              </w:rPr>
            </w:pPr>
            <w:r>
              <w:rPr>
                <w:rFonts w:ascii="宋体" w:hAnsi="宋体" w:eastAsia="宋体" w:cs="宋体"/>
                <w:color w:val="auto"/>
                <w:kern w:val="0"/>
                <w:sz w:val="22"/>
              </w:rPr>
              <w:t>个</w:t>
            </w:r>
          </w:p>
        </w:tc>
        <w:tc>
          <w:tcPr>
            <w:tcW w:w="395" w:type="pct"/>
            <w:tcBorders>
              <w:top w:val="nil"/>
              <w:left w:val="nil"/>
              <w:bottom w:val="single" w:color="auto" w:sz="4" w:space="0"/>
              <w:right w:val="single" w:color="auto" w:sz="4" w:space="0"/>
            </w:tcBorders>
            <w:vAlign w:val="center"/>
          </w:tcPr>
          <w:p w14:paraId="2156E7CB">
            <w:pPr>
              <w:widowControl/>
              <w:jc w:val="center"/>
              <w:rPr>
                <w:rFonts w:ascii="宋体" w:hAnsi="宋体" w:eastAsia="宋体" w:cs="宋体"/>
                <w:color w:val="auto"/>
                <w:kern w:val="0"/>
                <w:sz w:val="22"/>
              </w:rPr>
            </w:pPr>
            <w:r>
              <w:rPr>
                <w:rFonts w:ascii="宋体" w:hAnsi="宋体" w:eastAsia="宋体" w:cs="宋体"/>
                <w:color w:val="auto"/>
                <w:kern w:val="0"/>
                <w:sz w:val="22"/>
              </w:rPr>
              <w:t>2</w:t>
            </w:r>
          </w:p>
        </w:tc>
        <w:tc>
          <w:tcPr>
            <w:tcW w:w="973" w:type="pct"/>
            <w:tcBorders>
              <w:top w:val="nil"/>
              <w:left w:val="nil"/>
              <w:bottom w:val="single" w:color="auto" w:sz="4" w:space="0"/>
              <w:right w:val="single" w:color="auto" w:sz="4" w:space="0"/>
            </w:tcBorders>
            <w:vAlign w:val="center"/>
          </w:tcPr>
          <w:p w14:paraId="1E0724FA">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2FB5C7B1">
        <w:tblPrEx>
          <w:tblCellMar>
            <w:top w:w="0" w:type="dxa"/>
            <w:left w:w="108" w:type="dxa"/>
            <w:bottom w:w="0" w:type="dxa"/>
            <w:right w:w="108" w:type="dxa"/>
          </w:tblCellMar>
        </w:tblPrEx>
        <w:trPr>
          <w:trHeight w:val="396" w:hRule="atLeast"/>
        </w:trPr>
        <w:tc>
          <w:tcPr>
            <w:tcW w:w="331" w:type="pct"/>
            <w:vMerge w:val="restart"/>
            <w:tcBorders>
              <w:top w:val="nil"/>
              <w:left w:val="single" w:color="auto" w:sz="4" w:space="0"/>
              <w:bottom w:val="single" w:color="000000" w:sz="4" w:space="0"/>
              <w:right w:val="single" w:color="auto" w:sz="4" w:space="0"/>
            </w:tcBorders>
            <w:vAlign w:val="center"/>
          </w:tcPr>
          <w:p w14:paraId="23598FBF">
            <w:pPr>
              <w:widowControl/>
              <w:jc w:val="center"/>
              <w:rPr>
                <w:rFonts w:ascii="宋体" w:hAnsi="宋体" w:eastAsia="宋体" w:cs="宋体"/>
                <w:color w:val="auto"/>
                <w:kern w:val="0"/>
                <w:sz w:val="22"/>
              </w:rPr>
            </w:pPr>
            <w:r>
              <w:rPr>
                <w:rFonts w:ascii="宋体" w:hAnsi="宋体" w:eastAsia="宋体" w:cs="宋体"/>
                <w:color w:val="auto"/>
                <w:kern w:val="0"/>
                <w:sz w:val="22"/>
              </w:rPr>
              <w:t>(3)</w:t>
            </w:r>
          </w:p>
        </w:tc>
        <w:tc>
          <w:tcPr>
            <w:tcW w:w="1343" w:type="pct"/>
            <w:vMerge w:val="restart"/>
            <w:tcBorders>
              <w:top w:val="nil"/>
              <w:left w:val="single" w:color="auto" w:sz="4" w:space="0"/>
              <w:bottom w:val="single" w:color="auto" w:sz="4" w:space="0"/>
              <w:right w:val="single" w:color="auto" w:sz="4" w:space="0"/>
            </w:tcBorders>
            <w:vAlign w:val="center"/>
          </w:tcPr>
          <w:p w14:paraId="3DEC4D51">
            <w:pPr>
              <w:widowControl/>
              <w:jc w:val="center"/>
              <w:rPr>
                <w:rFonts w:ascii="宋体" w:hAnsi="宋体" w:eastAsia="宋体" w:cs="宋体"/>
                <w:color w:val="auto"/>
                <w:kern w:val="0"/>
                <w:sz w:val="22"/>
              </w:rPr>
            </w:pPr>
            <w:r>
              <w:rPr>
                <w:rFonts w:ascii="宋体" w:hAnsi="宋体" w:eastAsia="宋体" w:cs="宋体"/>
                <w:color w:val="auto"/>
                <w:kern w:val="0"/>
                <w:sz w:val="22"/>
              </w:rPr>
              <w:t>智能三相塑壳继电器  （4G版本）</w:t>
            </w:r>
          </w:p>
        </w:tc>
        <w:tc>
          <w:tcPr>
            <w:tcW w:w="1646" w:type="pct"/>
            <w:tcBorders>
              <w:top w:val="nil"/>
              <w:left w:val="nil"/>
              <w:bottom w:val="single" w:color="auto" w:sz="4" w:space="0"/>
              <w:right w:val="single" w:color="auto" w:sz="4" w:space="0"/>
            </w:tcBorders>
            <w:vAlign w:val="center"/>
          </w:tcPr>
          <w:p w14:paraId="2D5F0417">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vAlign w:val="center"/>
          </w:tcPr>
          <w:p w14:paraId="312CB87A">
            <w:pPr>
              <w:widowControl/>
              <w:jc w:val="center"/>
              <w:rPr>
                <w:rFonts w:ascii="宋体" w:hAnsi="宋体" w:eastAsia="宋体" w:cs="宋体"/>
                <w:color w:val="auto"/>
                <w:kern w:val="0"/>
                <w:sz w:val="22"/>
              </w:rPr>
            </w:pPr>
            <w:r>
              <w:rPr>
                <w:rFonts w:ascii="宋体" w:hAnsi="宋体" w:eastAsia="宋体" w:cs="宋体"/>
                <w:color w:val="auto"/>
                <w:kern w:val="0"/>
                <w:sz w:val="22"/>
              </w:rPr>
              <w:t>个</w:t>
            </w:r>
          </w:p>
        </w:tc>
        <w:tc>
          <w:tcPr>
            <w:tcW w:w="395" w:type="pct"/>
            <w:tcBorders>
              <w:top w:val="nil"/>
              <w:left w:val="nil"/>
              <w:bottom w:val="single" w:color="auto" w:sz="4" w:space="0"/>
              <w:right w:val="single" w:color="auto" w:sz="4" w:space="0"/>
            </w:tcBorders>
            <w:vAlign w:val="center"/>
          </w:tcPr>
          <w:p w14:paraId="1BADFD29">
            <w:pPr>
              <w:widowControl/>
              <w:jc w:val="center"/>
              <w:rPr>
                <w:rFonts w:ascii="宋体" w:hAnsi="宋体" w:eastAsia="宋体" w:cs="宋体"/>
                <w:color w:val="auto"/>
                <w:kern w:val="0"/>
                <w:sz w:val="22"/>
              </w:rPr>
            </w:pPr>
            <w:r>
              <w:rPr>
                <w:rFonts w:ascii="宋体" w:hAnsi="宋体" w:eastAsia="宋体" w:cs="宋体"/>
                <w:color w:val="auto"/>
                <w:kern w:val="0"/>
                <w:sz w:val="22"/>
              </w:rPr>
              <w:t>17</w:t>
            </w:r>
          </w:p>
        </w:tc>
        <w:tc>
          <w:tcPr>
            <w:tcW w:w="973" w:type="pct"/>
            <w:tcBorders>
              <w:top w:val="nil"/>
              <w:left w:val="nil"/>
              <w:bottom w:val="single" w:color="auto" w:sz="4" w:space="0"/>
              <w:right w:val="single" w:color="auto" w:sz="4" w:space="0"/>
            </w:tcBorders>
            <w:vAlign w:val="center"/>
          </w:tcPr>
          <w:p w14:paraId="7CD5C364">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051C3FF7">
        <w:tblPrEx>
          <w:tblCellMar>
            <w:top w:w="0" w:type="dxa"/>
            <w:left w:w="108" w:type="dxa"/>
            <w:bottom w:w="0" w:type="dxa"/>
            <w:right w:w="108" w:type="dxa"/>
          </w:tblCellMar>
        </w:tblPrEx>
        <w:trPr>
          <w:trHeight w:val="396" w:hRule="atLeast"/>
        </w:trPr>
        <w:tc>
          <w:tcPr>
            <w:tcW w:w="331" w:type="pct"/>
            <w:vMerge w:val="continue"/>
            <w:tcBorders>
              <w:top w:val="nil"/>
              <w:left w:val="single" w:color="auto" w:sz="4" w:space="0"/>
              <w:bottom w:val="single" w:color="000000" w:sz="4" w:space="0"/>
              <w:right w:val="single" w:color="auto" w:sz="4" w:space="0"/>
            </w:tcBorders>
            <w:vAlign w:val="center"/>
          </w:tcPr>
          <w:p w14:paraId="6BBAAE96">
            <w:pPr>
              <w:widowControl/>
              <w:jc w:val="left"/>
              <w:rPr>
                <w:rFonts w:ascii="宋体" w:hAnsi="宋体" w:eastAsia="宋体" w:cs="宋体"/>
                <w:color w:val="auto"/>
                <w:kern w:val="0"/>
                <w:sz w:val="22"/>
              </w:rPr>
            </w:pPr>
          </w:p>
        </w:tc>
        <w:tc>
          <w:tcPr>
            <w:tcW w:w="1343" w:type="pct"/>
            <w:vMerge w:val="continue"/>
            <w:tcBorders>
              <w:top w:val="nil"/>
              <w:left w:val="single" w:color="auto" w:sz="4" w:space="0"/>
              <w:bottom w:val="single" w:color="auto" w:sz="4" w:space="0"/>
              <w:right w:val="single" w:color="auto" w:sz="4" w:space="0"/>
            </w:tcBorders>
            <w:vAlign w:val="center"/>
          </w:tcPr>
          <w:p w14:paraId="73C88FCC">
            <w:pPr>
              <w:widowControl/>
              <w:jc w:val="left"/>
              <w:rPr>
                <w:rFonts w:ascii="宋体" w:hAnsi="宋体" w:eastAsia="宋体" w:cs="宋体"/>
                <w:color w:val="auto"/>
                <w:kern w:val="0"/>
                <w:sz w:val="22"/>
              </w:rPr>
            </w:pPr>
          </w:p>
        </w:tc>
        <w:tc>
          <w:tcPr>
            <w:tcW w:w="1646" w:type="pct"/>
            <w:tcBorders>
              <w:top w:val="nil"/>
              <w:left w:val="nil"/>
              <w:bottom w:val="single" w:color="auto" w:sz="4" w:space="0"/>
              <w:right w:val="single" w:color="auto" w:sz="4" w:space="0"/>
            </w:tcBorders>
            <w:vAlign w:val="center"/>
          </w:tcPr>
          <w:p w14:paraId="7041871B">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vAlign w:val="center"/>
          </w:tcPr>
          <w:p w14:paraId="1CE91CB5">
            <w:pPr>
              <w:widowControl/>
              <w:jc w:val="center"/>
              <w:rPr>
                <w:rFonts w:ascii="宋体" w:hAnsi="宋体" w:eastAsia="宋体" w:cs="宋体"/>
                <w:color w:val="auto"/>
                <w:kern w:val="0"/>
                <w:sz w:val="22"/>
              </w:rPr>
            </w:pPr>
            <w:r>
              <w:rPr>
                <w:rFonts w:ascii="宋体" w:hAnsi="宋体" w:eastAsia="宋体" w:cs="宋体"/>
                <w:color w:val="auto"/>
                <w:kern w:val="0"/>
                <w:sz w:val="22"/>
              </w:rPr>
              <w:t>个</w:t>
            </w:r>
          </w:p>
        </w:tc>
        <w:tc>
          <w:tcPr>
            <w:tcW w:w="395" w:type="pct"/>
            <w:tcBorders>
              <w:top w:val="nil"/>
              <w:left w:val="nil"/>
              <w:bottom w:val="single" w:color="auto" w:sz="4" w:space="0"/>
              <w:right w:val="single" w:color="auto" w:sz="4" w:space="0"/>
            </w:tcBorders>
            <w:vAlign w:val="center"/>
          </w:tcPr>
          <w:p w14:paraId="35FF1602">
            <w:pPr>
              <w:widowControl/>
              <w:jc w:val="center"/>
              <w:rPr>
                <w:rFonts w:ascii="宋体" w:hAnsi="宋体" w:eastAsia="宋体" w:cs="宋体"/>
                <w:color w:val="auto"/>
                <w:kern w:val="0"/>
                <w:sz w:val="22"/>
              </w:rPr>
            </w:pPr>
            <w:r>
              <w:rPr>
                <w:rFonts w:ascii="宋体" w:hAnsi="宋体" w:eastAsia="宋体" w:cs="宋体"/>
                <w:color w:val="auto"/>
                <w:kern w:val="0"/>
                <w:sz w:val="22"/>
              </w:rPr>
              <w:t>2</w:t>
            </w:r>
          </w:p>
        </w:tc>
        <w:tc>
          <w:tcPr>
            <w:tcW w:w="973" w:type="pct"/>
            <w:tcBorders>
              <w:top w:val="nil"/>
              <w:left w:val="nil"/>
              <w:bottom w:val="single" w:color="auto" w:sz="4" w:space="0"/>
              <w:right w:val="single" w:color="auto" w:sz="4" w:space="0"/>
            </w:tcBorders>
            <w:vAlign w:val="center"/>
          </w:tcPr>
          <w:p w14:paraId="15FC24CB">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0EF7CD03">
        <w:tblPrEx>
          <w:tblCellMar>
            <w:top w:w="0" w:type="dxa"/>
            <w:left w:w="108" w:type="dxa"/>
            <w:bottom w:w="0" w:type="dxa"/>
            <w:right w:w="108" w:type="dxa"/>
          </w:tblCellMar>
        </w:tblPrEx>
        <w:trPr>
          <w:trHeight w:val="396" w:hRule="atLeast"/>
        </w:trPr>
        <w:tc>
          <w:tcPr>
            <w:tcW w:w="331" w:type="pct"/>
            <w:vMerge w:val="continue"/>
            <w:tcBorders>
              <w:top w:val="nil"/>
              <w:left w:val="single" w:color="auto" w:sz="4" w:space="0"/>
              <w:bottom w:val="single" w:color="000000" w:sz="4" w:space="0"/>
              <w:right w:val="single" w:color="auto" w:sz="4" w:space="0"/>
            </w:tcBorders>
            <w:vAlign w:val="center"/>
          </w:tcPr>
          <w:p w14:paraId="27CE8D65">
            <w:pPr>
              <w:widowControl/>
              <w:jc w:val="left"/>
              <w:rPr>
                <w:rFonts w:ascii="宋体" w:hAnsi="宋体" w:eastAsia="宋体" w:cs="宋体"/>
                <w:color w:val="auto"/>
                <w:kern w:val="0"/>
                <w:sz w:val="22"/>
              </w:rPr>
            </w:pPr>
          </w:p>
        </w:tc>
        <w:tc>
          <w:tcPr>
            <w:tcW w:w="1343" w:type="pct"/>
            <w:vMerge w:val="continue"/>
            <w:tcBorders>
              <w:top w:val="nil"/>
              <w:left w:val="single" w:color="auto" w:sz="4" w:space="0"/>
              <w:bottom w:val="single" w:color="auto" w:sz="4" w:space="0"/>
              <w:right w:val="single" w:color="auto" w:sz="4" w:space="0"/>
            </w:tcBorders>
            <w:vAlign w:val="center"/>
          </w:tcPr>
          <w:p w14:paraId="3A132B0B">
            <w:pPr>
              <w:widowControl/>
              <w:jc w:val="left"/>
              <w:rPr>
                <w:rFonts w:ascii="宋体" w:hAnsi="宋体" w:eastAsia="宋体" w:cs="宋体"/>
                <w:color w:val="auto"/>
                <w:kern w:val="0"/>
                <w:sz w:val="22"/>
              </w:rPr>
            </w:pPr>
          </w:p>
        </w:tc>
        <w:tc>
          <w:tcPr>
            <w:tcW w:w="1646" w:type="pct"/>
            <w:tcBorders>
              <w:top w:val="nil"/>
              <w:left w:val="nil"/>
              <w:bottom w:val="single" w:color="auto" w:sz="4" w:space="0"/>
              <w:right w:val="single" w:color="auto" w:sz="4" w:space="0"/>
            </w:tcBorders>
            <w:vAlign w:val="center"/>
          </w:tcPr>
          <w:p w14:paraId="0C670630">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vAlign w:val="center"/>
          </w:tcPr>
          <w:p w14:paraId="676513F6">
            <w:pPr>
              <w:widowControl/>
              <w:jc w:val="center"/>
              <w:rPr>
                <w:rFonts w:ascii="宋体" w:hAnsi="宋体" w:eastAsia="宋体" w:cs="宋体"/>
                <w:color w:val="auto"/>
                <w:kern w:val="0"/>
                <w:sz w:val="22"/>
              </w:rPr>
            </w:pPr>
            <w:r>
              <w:rPr>
                <w:rFonts w:ascii="宋体" w:hAnsi="宋体" w:eastAsia="宋体" w:cs="宋体"/>
                <w:color w:val="auto"/>
                <w:kern w:val="0"/>
                <w:sz w:val="22"/>
              </w:rPr>
              <w:t>个</w:t>
            </w:r>
          </w:p>
        </w:tc>
        <w:tc>
          <w:tcPr>
            <w:tcW w:w="395" w:type="pct"/>
            <w:tcBorders>
              <w:top w:val="nil"/>
              <w:left w:val="nil"/>
              <w:bottom w:val="single" w:color="auto" w:sz="4" w:space="0"/>
              <w:right w:val="single" w:color="auto" w:sz="4" w:space="0"/>
            </w:tcBorders>
            <w:vAlign w:val="center"/>
          </w:tcPr>
          <w:p w14:paraId="2BBBAADF">
            <w:pPr>
              <w:widowControl/>
              <w:jc w:val="center"/>
              <w:rPr>
                <w:rFonts w:ascii="宋体" w:hAnsi="宋体" w:eastAsia="宋体" w:cs="宋体"/>
                <w:color w:val="auto"/>
                <w:kern w:val="0"/>
                <w:sz w:val="22"/>
              </w:rPr>
            </w:pPr>
            <w:r>
              <w:rPr>
                <w:rFonts w:ascii="宋体" w:hAnsi="宋体" w:eastAsia="宋体" w:cs="宋体"/>
                <w:color w:val="auto"/>
                <w:kern w:val="0"/>
                <w:sz w:val="22"/>
              </w:rPr>
              <w:t>3</w:t>
            </w:r>
          </w:p>
        </w:tc>
        <w:tc>
          <w:tcPr>
            <w:tcW w:w="973" w:type="pct"/>
            <w:tcBorders>
              <w:top w:val="nil"/>
              <w:left w:val="nil"/>
              <w:bottom w:val="single" w:color="auto" w:sz="4" w:space="0"/>
              <w:right w:val="single" w:color="auto" w:sz="4" w:space="0"/>
            </w:tcBorders>
            <w:vAlign w:val="center"/>
          </w:tcPr>
          <w:p w14:paraId="5996F312">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5BCB08E6">
        <w:tblPrEx>
          <w:tblCellMar>
            <w:top w:w="0" w:type="dxa"/>
            <w:left w:w="108" w:type="dxa"/>
            <w:bottom w:w="0" w:type="dxa"/>
            <w:right w:w="108" w:type="dxa"/>
          </w:tblCellMar>
        </w:tblPrEx>
        <w:trPr>
          <w:trHeight w:val="432" w:hRule="atLeast"/>
        </w:trPr>
        <w:tc>
          <w:tcPr>
            <w:tcW w:w="331" w:type="pct"/>
            <w:tcBorders>
              <w:top w:val="nil"/>
              <w:left w:val="single" w:color="auto" w:sz="4" w:space="0"/>
              <w:bottom w:val="single" w:color="auto" w:sz="4" w:space="0"/>
              <w:right w:val="single" w:color="auto" w:sz="4" w:space="0"/>
            </w:tcBorders>
            <w:vAlign w:val="center"/>
          </w:tcPr>
          <w:p w14:paraId="5380ACE7">
            <w:pPr>
              <w:widowControl/>
              <w:jc w:val="center"/>
              <w:rPr>
                <w:rFonts w:ascii="宋体" w:hAnsi="宋体" w:eastAsia="宋体" w:cs="宋体"/>
                <w:color w:val="auto"/>
                <w:kern w:val="0"/>
                <w:sz w:val="22"/>
              </w:rPr>
            </w:pPr>
            <w:r>
              <w:rPr>
                <w:rFonts w:ascii="宋体" w:hAnsi="宋体" w:eastAsia="宋体" w:cs="宋体"/>
                <w:color w:val="auto"/>
                <w:kern w:val="0"/>
                <w:sz w:val="22"/>
              </w:rPr>
              <w:t>(4)</w:t>
            </w:r>
          </w:p>
        </w:tc>
        <w:tc>
          <w:tcPr>
            <w:tcW w:w="1343" w:type="pct"/>
            <w:tcBorders>
              <w:top w:val="nil"/>
              <w:left w:val="nil"/>
              <w:bottom w:val="single" w:color="auto" w:sz="4" w:space="0"/>
              <w:right w:val="single" w:color="auto" w:sz="4" w:space="0"/>
            </w:tcBorders>
            <w:vAlign w:val="center"/>
          </w:tcPr>
          <w:p w14:paraId="0A75F855">
            <w:pPr>
              <w:widowControl/>
              <w:jc w:val="center"/>
              <w:rPr>
                <w:rFonts w:ascii="宋体" w:hAnsi="宋体" w:eastAsia="宋体" w:cs="宋体"/>
                <w:color w:val="auto"/>
                <w:kern w:val="0"/>
                <w:sz w:val="22"/>
              </w:rPr>
            </w:pPr>
            <w:r>
              <w:rPr>
                <w:rFonts w:ascii="宋体" w:hAnsi="宋体" w:eastAsia="宋体" w:cs="宋体"/>
                <w:color w:val="auto"/>
                <w:kern w:val="0"/>
                <w:sz w:val="22"/>
              </w:rPr>
              <w:t>数据通讯</w:t>
            </w:r>
          </w:p>
        </w:tc>
        <w:tc>
          <w:tcPr>
            <w:tcW w:w="1646" w:type="pct"/>
            <w:tcBorders>
              <w:top w:val="nil"/>
              <w:left w:val="nil"/>
              <w:bottom w:val="single" w:color="auto" w:sz="4" w:space="0"/>
              <w:right w:val="single" w:color="auto" w:sz="4" w:space="0"/>
            </w:tcBorders>
            <w:vAlign w:val="center"/>
          </w:tcPr>
          <w:p w14:paraId="6AC48342">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vAlign w:val="center"/>
          </w:tcPr>
          <w:p w14:paraId="0FEC6587">
            <w:pPr>
              <w:widowControl/>
              <w:jc w:val="center"/>
              <w:rPr>
                <w:rFonts w:ascii="宋体" w:hAnsi="宋体" w:eastAsia="宋体" w:cs="宋体"/>
                <w:color w:val="auto"/>
                <w:kern w:val="0"/>
                <w:sz w:val="22"/>
              </w:rPr>
            </w:pPr>
            <w:r>
              <w:rPr>
                <w:rFonts w:ascii="宋体" w:hAnsi="宋体" w:eastAsia="宋体" w:cs="宋体"/>
                <w:color w:val="auto"/>
                <w:kern w:val="0"/>
                <w:sz w:val="22"/>
              </w:rPr>
              <w:t>套</w:t>
            </w:r>
          </w:p>
        </w:tc>
        <w:tc>
          <w:tcPr>
            <w:tcW w:w="395" w:type="pct"/>
            <w:tcBorders>
              <w:top w:val="nil"/>
              <w:left w:val="nil"/>
              <w:bottom w:val="single" w:color="auto" w:sz="4" w:space="0"/>
              <w:right w:val="single" w:color="auto" w:sz="4" w:space="0"/>
            </w:tcBorders>
            <w:vAlign w:val="center"/>
          </w:tcPr>
          <w:p w14:paraId="7AFFAAC1">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973" w:type="pct"/>
            <w:tcBorders>
              <w:top w:val="nil"/>
              <w:left w:val="nil"/>
              <w:bottom w:val="single" w:color="auto" w:sz="4" w:space="0"/>
              <w:right w:val="single" w:color="auto" w:sz="4" w:space="0"/>
            </w:tcBorders>
            <w:vAlign w:val="center"/>
          </w:tcPr>
          <w:p w14:paraId="3D46AF97">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5AA74367">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17213F9E">
            <w:pPr>
              <w:widowControl/>
              <w:jc w:val="center"/>
              <w:rPr>
                <w:rFonts w:ascii="宋体" w:hAnsi="宋体" w:eastAsia="宋体" w:cs="宋体"/>
                <w:b/>
                <w:bCs/>
                <w:color w:val="auto"/>
                <w:kern w:val="0"/>
                <w:sz w:val="22"/>
              </w:rPr>
            </w:pPr>
            <w:r>
              <w:rPr>
                <w:rFonts w:ascii="宋体" w:hAnsi="宋体" w:eastAsia="宋体" w:cs="宋体"/>
                <w:b/>
                <w:bCs/>
                <w:color w:val="auto"/>
                <w:kern w:val="0"/>
                <w:sz w:val="22"/>
              </w:rPr>
              <w:t>1.3</w:t>
            </w:r>
          </w:p>
        </w:tc>
        <w:tc>
          <w:tcPr>
            <w:tcW w:w="3696" w:type="pct"/>
            <w:gridSpan w:val="4"/>
            <w:tcBorders>
              <w:top w:val="single" w:color="auto" w:sz="4" w:space="0"/>
              <w:left w:val="nil"/>
              <w:bottom w:val="single" w:color="auto" w:sz="4" w:space="0"/>
              <w:right w:val="single" w:color="auto" w:sz="4" w:space="0"/>
            </w:tcBorders>
            <w:vAlign w:val="center"/>
          </w:tcPr>
          <w:p w14:paraId="71923EA0">
            <w:pPr>
              <w:widowControl/>
              <w:jc w:val="center"/>
              <w:rPr>
                <w:rFonts w:ascii="宋体" w:hAnsi="宋体" w:eastAsia="宋体" w:cs="宋体"/>
                <w:b/>
                <w:bCs/>
                <w:color w:val="auto"/>
                <w:kern w:val="0"/>
                <w:sz w:val="22"/>
              </w:rPr>
            </w:pPr>
            <w:r>
              <w:rPr>
                <w:rFonts w:ascii="宋体" w:hAnsi="宋体" w:eastAsia="宋体" w:cs="宋体"/>
                <w:b/>
                <w:bCs/>
                <w:color w:val="auto"/>
                <w:kern w:val="0"/>
                <w:sz w:val="22"/>
              </w:rPr>
              <w:t>3号楼1-15楼</w:t>
            </w:r>
          </w:p>
        </w:tc>
        <w:tc>
          <w:tcPr>
            <w:tcW w:w="973" w:type="pct"/>
            <w:tcBorders>
              <w:top w:val="nil"/>
              <w:left w:val="nil"/>
              <w:bottom w:val="single" w:color="auto" w:sz="4" w:space="0"/>
              <w:right w:val="single" w:color="auto" w:sz="4" w:space="0"/>
            </w:tcBorders>
            <w:vAlign w:val="bottom"/>
          </w:tcPr>
          <w:p w14:paraId="1279831A">
            <w:pPr>
              <w:widowControl/>
              <w:jc w:val="left"/>
              <w:rPr>
                <w:rFonts w:ascii="等线" w:hAnsi="等线" w:eastAsia="等线" w:cs="宋体"/>
                <w:color w:val="auto"/>
                <w:kern w:val="0"/>
                <w:sz w:val="22"/>
              </w:rPr>
            </w:pPr>
            <w:r>
              <w:rPr>
                <w:rFonts w:ascii="等线" w:hAnsi="等线" w:eastAsia="等线" w:cs="宋体"/>
                <w:color w:val="auto"/>
                <w:kern w:val="0"/>
                <w:sz w:val="22"/>
              </w:rPr>
              <w:t>　</w:t>
            </w:r>
          </w:p>
        </w:tc>
      </w:tr>
      <w:tr w14:paraId="5F5C8FC5">
        <w:tblPrEx>
          <w:tblCellMar>
            <w:top w:w="0" w:type="dxa"/>
            <w:left w:w="108" w:type="dxa"/>
            <w:bottom w:w="0" w:type="dxa"/>
            <w:right w:w="108" w:type="dxa"/>
          </w:tblCellMar>
        </w:tblPrEx>
        <w:trPr>
          <w:trHeight w:val="396" w:hRule="atLeast"/>
        </w:trPr>
        <w:tc>
          <w:tcPr>
            <w:tcW w:w="331" w:type="pct"/>
            <w:vMerge w:val="restart"/>
            <w:tcBorders>
              <w:top w:val="nil"/>
              <w:left w:val="single" w:color="auto" w:sz="4" w:space="0"/>
              <w:bottom w:val="single" w:color="000000" w:sz="4" w:space="0"/>
              <w:right w:val="single" w:color="auto" w:sz="4" w:space="0"/>
            </w:tcBorders>
            <w:vAlign w:val="center"/>
          </w:tcPr>
          <w:p w14:paraId="5DD1A0C8">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1343" w:type="pct"/>
            <w:vMerge w:val="restart"/>
            <w:tcBorders>
              <w:top w:val="nil"/>
              <w:left w:val="single" w:color="auto" w:sz="4" w:space="0"/>
              <w:bottom w:val="single" w:color="auto" w:sz="4" w:space="0"/>
              <w:right w:val="single" w:color="auto" w:sz="4" w:space="0"/>
            </w:tcBorders>
            <w:vAlign w:val="center"/>
          </w:tcPr>
          <w:p w14:paraId="4E11F4BE">
            <w:pPr>
              <w:widowControl/>
              <w:jc w:val="center"/>
              <w:rPr>
                <w:rFonts w:ascii="宋体" w:hAnsi="宋体" w:eastAsia="宋体" w:cs="宋体"/>
                <w:color w:val="auto"/>
                <w:kern w:val="0"/>
                <w:sz w:val="22"/>
              </w:rPr>
            </w:pPr>
            <w:r>
              <w:rPr>
                <w:rFonts w:ascii="宋体" w:hAnsi="宋体" w:eastAsia="宋体" w:cs="宋体"/>
                <w:color w:val="auto"/>
                <w:kern w:val="0"/>
                <w:sz w:val="22"/>
              </w:rPr>
              <w:t>智能三相塑壳继电器  （4G版本）</w:t>
            </w:r>
          </w:p>
        </w:tc>
        <w:tc>
          <w:tcPr>
            <w:tcW w:w="1646" w:type="pct"/>
            <w:tcBorders>
              <w:top w:val="nil"/>
              <w:left w:val="nil"/>
              <w:bottom w:val="single" w:color="auto" w:sz="4" w:space="0"/>
              <w:right w:val="single" w:color="auto" w:sz="4" w:space="0"/>
            </w:tcBorders>
            <w:vAlign w:val="center"/>
          </w:tcPr>
          <w:p w14:paraId="21E6FFEE">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vAlign w:val="center"/>
          </w:tcPr>
          <w:p w14:paraId="35F51E4F">
            <w:pPr>
              <w:widowControl/>
              <w:jc w:val="center"/>
              <w:rPr>
                <w:rFonts w:ascii="宋体" w:hAnsi="宋体" w:eastAsia="宋体" w:cs="宋体"/>
                <w:color w:val="auto"/>
                <w:kern w:val="0"/>
                <w:sz w:val="22"/>
              </w:rPr>
            </w:pPr>
            <w:r>
              <w:rPr>
                <w:rFonts w:ascii="宋体" w:hAnsi="宋体" w:eastAsia="宋体" w:cs="宋体"/>
                <w:color w:val="auto"/>
                <w:kern w:val="0"/>
                <w:sz w:val="22"/>
              </w:rPr>
              <w:t>个</w:t>
            </w:r>
          </w:p>
        </w:tc>
        <w:tc>
          <w:tcPr>
            <w:tcW w:w="395" w:type="pct"/>
            <w:tcBorders>
              <w:top w:val="nil"/>
              <w:left w:val="nil"/>
              <w:bottom w:val="single" w:color="auto" w:sz="4" w:space="0"/>
              <w:right w:val="single" w:color="auto" w:sz="4" w:space="0"/>
            </w:tcBorders>
            <w:vAlign w:val="center"/>
          </w:tcPr>
          <w:p w14:paraId="1798962B">
            <w:pPr>
              <w:widowControl/>
              <w:jc w:val="center"/>
              <w:rPr>
                <w:rFonts w:ascii="宋体" w:hAnsi="宋体" w:eastAsia="宋体" w:cs="宋体"/>
                <w:color w:val="auto"/>
                <w:kern w:val="0"/>
                <w:sz w:val="22"/>
              </w:rPr>
            </w:pPr>
            <w:r>
              <w:rPr>
                <w:rFonts w:ascii="宋体" w:hAnsi="宋体" w:eastAsia="宋体" w:cs="宋体"/>
                <w:color w:val="auto"/>
                <w:kern w:val="0"/>
                <w:sz w:val="22"/>
              </w:rPr>
              <w:t>19</w:t>
            </w:r>
          </w:p>
        </w:tc>
        <w:tc>
          <w:tcPr>
            <w:tcW w:w="973" w:type="pct"/>
            <w:tcBorders>
              <w:top w:val="nil"/>
              <w:left w:val="nil"/>
              <w:bottom w:val="single" w:color="auto" w:sz="4" w:space="0"/>
              <w:right w:val="single" w:color="auto" w:sz="4" w:space="0"/>
            </w:tcBorders>
            <w:vAlign w:val="center"/>
          </w:tcPr>
          <w:p w14:paraId="53C59E73">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4066766B">
        <w:tblPrEx>
          <w:tblCellMar>
            <w:top w:w="0" w:type="dxa"/>
            <w:left w:w="108" w:type="dxa"/>
            <w:bottom w:w="0" w:type="dxa"/>
            <w:right w:w="108" w:type="dxa"/>
          </w:tblCellMar>
        </w:tblPrEx>
        <w:trPr>
          <w:trHeight w:val="396" w:hRule="atLeast"/>
        </w:trPr>
        <w:tc>
          <w:tcPr>
            <w:tcW w:w="331" w:type="pct"/>
            <w:vMerge w:val="continue"/>
            <w:tcBorders>
              <w:top w:val="nil"/>
              <w:left w:val="single" w:color="auto" w:sz="4" w:space="0"/>
              <w:bottom w:val="single" w:color="000000" w:sz="4" w:space="0"/>
              <w:right w:val="single" w:color="auto" w:sz="4" w:space="0"/>
            </w:tcBorders>
            <w:vAlign w:val="center"/>
          </w:tcPr>
          <w:p w14:paraId="7D046B47">
            <w:pPr>
              <w:widowControl/>
              <w:jc w:val="left"/>
              <w:rPr>
                <w:rFonts w:ascii="宋体" w:hAnsi="宋体" w:eastAsia="宋体" w:cs="宋体"/>
                <w:color w:val="auto"/>
                <w:kern w:val="0"/>
                <w:sz w:val="22"/>
              </w:rPr>
            </w:pPr>
          </w:p>
        </w:tc>
        <w:tc>
          <w:tcPr>
            <w:tcW w:w="1343" w:type="pct"/>
            <w:vMerge w:val="continue"/>
            <w:tcBorders>
              <w:top w:val="nil"/>
              <w:left w:val="single" w:color="auto" w:sz="4" w:space="0"/>
              <w:bottom w:val="single" w:color="auto" w:sz="4" w:space="0"/>
              <w:right w:val="single" w:color="auto" w:sz="4" w:space="0"/>
            </w:tcBorders>
            <w:vAlign w:val="center"/>
          </w:tcPr>
          <w:p w14:paraId="2D948685">
            <w:pPr>
              <w:widowControl/>
              <w:jc w:val="left"/>
              <w:rPr>
                <w:rFonts w:ascii="宋体" w:hAnsi="宋体" w:eastAsia="宋体" w:cs="宋体"/>
                <w:color w:val="auto"/>
                <w:kern w:val="0"/>
                <w:sz w:val="22"/>
              </w:rPr>
            </w:pPr>
          </w:p>
        </w:tc>
        <w:tc>
          <w:tcPr>
            <w:tcW w:w="1646" w:type="pct"/>
            <w:tcBorders>
              <w:top w:val="nil"/>
              <w:left w:val="nil"/>
              <w:bottom w:val="single" w:color="auto" w:sz="4" w:space="0"/>
              <w:right w:val="single" w:color="auto" w:sz="4" w:space="0"/>
            </w:tcBorders>
            <w:vAlign w:val="center"/>
          </w:tcPr>
          <w:p w14:paraId="35F95C62">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vAlign w:val="center"/>
          </w:tcPr>
          <w:p w14:paraId="3A59DAB1">
            <w:pPr>
              <w:widowControl/>
              <w:jc w:val="center"/>
              <w:rPr>
                <w:rFonts w:ascii="宋体" w:hAnsi="宋体" w:eastAsia="宋体" w:cs="宋体"/>
                <w:color w:val="auto"/>
                <w:kern w:val="0"/>
                <w:sz w:val="22"/>
              </w:rPr>
            </w:pPr>
            <w:r>
              <w:rPr>
                <w:rFonts w:ascii="宋体" w:hAnsi="宋体" w:eastAsia="宋体" w:cs="宋体"/>
                <w:color w:val="auto"/>
                <w:kern w:val="0"/>
                <w:sz w:val="22"/>
              </w:rPr>
              <w:t>个</w:t>
            </w:r>
          </w:p>
        </w:tc>
        <w:tc>
          <w:tcPr>
            <w:tcW w:w="395" w:type="pct"/>
            <w:tcBorders>
              <w:top w:val="nil"/>
              <w:left w:val="nil"/>
              <w:bottom w:val="single" w:color="auto" w:sz="4" w:space="0"/>
              <w:right w:val="single" w:color="auto" w:sz="4" w:space="0"/>
            </w:tcBorders>
            <w:vAlign w:val="center"/>
          </w:tcPr>
          <w:p w14:paraId="24278FE5">
            <w:pPr>
              <w:widowControl/>
              <w:jc w:val="center"/>
              <w:rPr>
                <w:rFonts w:ascii="宋体" w:hAnsi="宋体" w:eastAsia="宋体" w:cs="宋体"/>
                <w:color w:val="auto"/>
                <w:kern w:val="0"/>
                <w:sz w:val="22"/>
              </w:rPr>
            </w:pPr>
            <w:r>
              <w:rPr>
                <w:rFonts w:ascii="宋体" w:hAnsi="宋体" w:eastAsia="宋体" w:cs="宋体"/>
                <w:color w:val="auto"/>
                <w:kern w:val="0"/>
                <w:sz w:val="22"/>
              </w:rPr>
              <w:t>4</w:t>
            </w:r>
          </w:p>
        </w:tc>
        <w:tc>
          <w:tcPr>
            <w:tcW w:w="973" w:type="pct"/>
            <w:tcBorders>
              <w:top w:val="nil"/>
              <w:left w:val="nil"/>
              <w:bottom w:val="single" w:color="auto" w:sz="4" w:space="0"/>
              <w:right w:val="single" w:color="auto" w:sz="4" w:space="0"/>
            </w:tcBorders>
            <w:vAlign w:val="center"/>
          </w:tcPr>
          <w:p w14:paraId="1CC804A2">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6D0F6217">
        <w:tblPrEx>
          <w:tblCellMar>
            <w:top w:w="0" w:type="dxa"/>
            <w:left w:w="108" w:type="dxa"/>
            <w:bottom w:w="0" w:type="dxa"/>
            <w:right w:w="108" w:type="dxa"/>
          </w:tblCellMar>
        </w:tblPrEx>
        <w:trPr>
          <w:trHeight w:val="396" w:hRule="atLeast"/>
        </w:trPr>
        <w:tc>
          <w:tcPr>
            <w:tcW w:w="331" w:type="pct"/>
            <w:vMerge w:val="continue"/>
            <w:tcBorders>
              <w:top w:val="nil"/>
              <w:left w:val="single" w:color="auto" w:sz="4" w:space="0"/>
              <w:bottom w:val="single" w:color="000000" w:sz="4" w:space="0"/>
              <w:right w:val="single" w:color="auto" w:sz="4" w:space="0"/>
            </w:tcBorders>
            <w:vAlign w:val="center"/>
          </w:tcPr>
          <w:p w14:paraId="35D9D039">
            <w:pPr>
              <w:widowControl/>
              <w:jc w:val="left"/>
              <w:rPr>
                <w:rFonts w:ascii="宋体" w:hAnsi="宋体" w:eastAsia="宋体" w:cs="宋体"/>
                <w:color w:val="auto"/>
                <w:kern w:val="0"/>
                <w:sz w:val="22"/>
              </w:rPr>
            </w:pPr>
          </w:p>
        </w:tc>
        <w:tc>
          <w:tcPr>
            <w:tcW w:w="1343" w:type="pct"/>
            <w:vMerge w:val="continue"/>
            <w:tcBorders>
              <w:top w:val="nil"/>
              <w:left w:val="single" w:color="auto" w:sz="4" w:space="0"/>
              <w:bottom w:val="single" w:color="auto" w:sz="4" w:space="0"/>
              <w:right w:val="single" w:color="auto" w:sz="4" w:space="0"/>
            </w:tcBorders>
            <w:vAlign w:val="center"/>
          </w:tcPr>
          <w:p w14:paraId="0015DD06">
            <w:pPr>
              <w:widowControl/>
              <w:jc w:val="left"/>
              <w:rPr>
                <w:rFonts w:ascii="宋体" w:hAnsi="宋体" w:eastAsia="宋体" w:cs="宋体"/>
                <w:color w:val="auto"/>
                <w:kern w:val="0"/>
                <w:sz w:val="22"/>
              </w:rPr>
            </w:pPr>
          </w:p>
        </w:tc>
        <w:tc>
          <w:tcPr>
            <w:tcW w:w="1646" w:type="pct"/>
            <w:tcBorders>
              <w:top w:val="nil"/>
              <w:left w:val="nil"/>
              <w:bottom w:val="single" w:color="auto" w:sz="4" w:space="0"/>
              <w:right w:val="single" w:color="auto" w:sz="4" w:space="0"/>
            </w:tcBorders>
            <w:vAlign w:val="center"/>
          </w:tcPr>
          <w:p w14:paraId="61CCD923">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vAlign w:val="center"/>
          </w:tcPr>
          <w:p w14:paraId="0AB30922">
            <w:pPr>
              <w:widowControl/>
              <w:jc w:val="center"/>
              <w:rPr>
                <w:rFonts w:ascii="宋体" w:hAnsi="宋体" w:eastAsia="宋体" w:cs="宋体"/>
                <w:color w:val="auto"/>
                <w:kern w:val="0"/>
                <w:sz w:val="22"/>
              </w:rPr>
            </w:pPr>
            <w:r>
              <w:rPr>
                <w:rFonts w:ascii="宋体" w:hAnsi="宋体" w:eastAsia="宋体" w:cs="宋体"/>
                <w:color w:val="auto"/>
                <w:kern w:val="0"/>
                <w:sz w:val="22"/>
              </w:rPr>
              <w:t>个</w:t>
            </w:r>
          </w:p>
        </w:tc>
        <w:tc>
          <w:tcPr>
            <w:tcW w:w="395" w:type="pct"/>
            <w:tcBorders>
              <w:top w:val="nil"/>
              <w:left w:val="nil"/>
              <w:bottom w:val="single" w:color="auto" w:sz="4" w:space="0"/>
              <w:right w:val="single" w:color="auto" w:sz="4" w:space="0"/>
            </w:tcBorders>
            <w:vAlign w:val="center"/>
          </w:tcPr>
          <w:p w14:paraId="1172104E">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973" w:type="pct"/>
            <w:tcBorders>
              <w:top w:val="nil"/>
              <w:left w:val="nil"/>
              <w:bottom w:val="single" w:color="auto" w:sz="4" w:space="0"/>
              <w:right w:val="single" w:color="auto" w:sz="4" w:space="0"/>
            </w:tcBorders>
            <w:vAlign w:val="center"/>
          </w:tcPr>
          <w:p w14:paraId="5FE84797">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3E1E9639">
        <w:tblPrEx>
          <w:tblCellMar>
            <w:top w:w="0" w:type="dxa"/>
            <w:left w:w="108" w:type="dxa"/>
            <w:bottom w:w="0" w:type="dxa"/>
            <w:right w:w="108" w:type="dxa"/>
          </w:tblCellMar>
        </w:tblPrEx>
        <w:trPr>
          <w:trHeight w:val="432" w:hRule="atLeast"/>
        </w:trPr>
        <w:tc>
          <w:tcPr>
            <w:tcW w:w="331" w:type="pct"/>
            <w:tcBorders>
              <w:top w:val="nil"/>
              <w:left w:val="single" w:color="auto" w:sz="4" w:space="0"/>
              <w:bottom w:val="single" w:color="auto" w:sz="4" w:space="0"/>
              <w:right w:val="single" w:color="auto" w:sz="4" w:space="0"/>
            </w:tcBorders>
            <w:vAlign w:val="center"/>
          </w:tcPr>
          <w:p w14:paraId="0232FE53">
            <w:pPr>
              <w:widowControl/>
              <w:jc w:val="center"/>
              <w:rPr>
                <w:rFonts w:ascii="宋体" w:hAnsi="宋体" w:eastAsia="宋体" w:cs="宋体"/>
                <w:color w:val="auto"/>
                <w:kern w:val="0"/>
                <w:sz w:val="22"/>
              </w:rPr>
            </w:pPr>
            <w:r>
              <w:rPr>
                <w:rFonts w:ascii="宋体" w:hAnsi="宋体" w:eastAsia="宋体" w:cs="宋体"/>
                <w:color w:val="auto"/>
                <w:kern w:val="0"/>
                <w:sz w:val="22"/>
              </w:rPr>
              <w:t>(2)</w:t>
            </w:r>
          </w:p>
        </w:tc>
        <w:tc>
          <w:tcPr>
            <w:tcW w:w="1343" w:type="pct"/>
            <w:tcBorders>
              <w:top w:val="nil"/>
              <w:left w:val="nil"/>
              <w:bottom w:val="single" w:color="auto" w:sz="4" w:space="0"/>
              <w:right w:val="single" w:color="auto" w:sz="4" w:space="0"/>
            </w:tcBorders>
            <w:vAlign w:val="center"/>
          </w:tcPr>
          <w:p w14:paraId="79537444">
            <w:pPr>
              <w:widowControl/>
              <w:jc w:val="center"/>
              <w:rPr>
                <w:rFonts w:ascii="宋体" w:hAnsi="宋体" w:eastAsia="宋体" w:cs="宋体"/>
                <w:color w:val="auto"/>
                <w:kern w:val="0"/>
                <w:sz w:val="22"/>
              </w:rPr>
            </w:pPr>
            <w:r>
              <w:rPr>
                <w:rFonts w:ascii="宋体" w:hAnsi="宋体" w:eastAsia="宋体" w:cs="宋体"/>
                <w:color w:val="auto"/>
                <w:kern w:val="0"/>
                <w:sz w:val="22"/>
              </w:rPr>
              <w:t>数据通讯</w:t>
            </w:r>
          </w:p>
        </w:tc>
        <w:tc>
          <w:tcPr>
            <w:tcW w:w="1646" w:type="pct"/>
            <w:tcBorders>
              <w:top w:val="nil"/>
              <w:left w:val="nil"/>
              <w:bottom w:val="single" w:color="auto" w:sz="4" w:space="0"/>
              <w:right w:val="single" w:color="auto" w:sz="4" w:space="0"/>
            </w:tcBorders>
            <w:vAlign w:val="center"/>
          </w:tcPr>
          <w:p w14:paraId="11A044CD">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vAlign w:val="center"/>
          </w:tcPr>
          <w:p w14:paraId="4C7C2CD6">
            <w:pPr>
              <w:widowControl/>
              <w:jc w:val="center"/>
              <w:rPr>
                <w:rFonts w:ascii="宋体" w:hAnsi="宋体" w:eastAsia="宋体" w:cs="宋体"/>
                <w:color w:val="auto"/>
                <w:kern w:val="0"/>
                <w:sz w:val="22"/>
              </w:rPr>
            </w:pPr>
            <w:r>
              <w:rPr>
                <w:rFonts w:ascii="宋体" w:hAnsi="宋体" w:eastAsia="宋体" w:cs="宋体"/>
                <w:color w:val="auto"/>
                <w:kern w:val="0"/>
                <w:sz w:val="22"/>
              </w:rPr>
              <w:t>套</w:t>
            </w:r>
          </w:p>
        </w:tc>
        <w:tc>
          <w:tcPr>
            <w:tcW w:w="395" w:type="pct"/>
            <w:tcBorders>
              <w:top w:val="nil"/>
              <w:left w:val="nil"/>
              <w:bottom w:val="single" w:color="auto" w:sz="4" w:space="0"/>
              <w:right w:val="single" w:color="auto" w:sz="4" w:space="0"/>
            </w:tcBorders>
            <w:vAlign w:val="center"/>
          </w:tcPr>
          <w:p w14:paraId="52D0E8B4">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973" w:type="pct"/>
            <w:tcBorders>
              <w:top w:val="nil"/>
              <w:left w:val="nil"/>
              <w:bottom w:val="single" w:color="auto" w:sz="4" w:space="0"/>
              <w:right w:val="single" w:color="auto" w:sz="4" w:space="0"/>
            </w:tcBorders>
            <w:vAlign w:val="center"/>
          </w:tcPr>
          <w:p w14:paraId="337C2EDD">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4102F81D">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3675DC8D">
            <w:pPr>
              <w:widowControl/>
              <w:jc w:val="center"/>
              <w:rPr>
                <w:rFonts w:ascii="宋体" w:hAnsi="宋体" w:eastAsia="宋体" w:cs="宋体"/>
                <w:b/>
                <w:bCs/>
                <w:color w:val="auto"/>
                <w:kern w:val="0"/>
                <w:sz w:val="22"/>
              </w:rPr>
            </w:pPr>
            <w:r>
              <w:rPr>
                <w:rFonts w:ascii="宋体" w:hAnsi="宋体" w:eastAsia="宋体" w:cs="宋体"/>
                <w:b/>
                <w:bCs/>
                <w:color w:val="auto"/>
                <w:kern w:val="0"/>
                <w:sz w:val="22"/>
              </w:rPr>
              <w:t>1.4</w:t>
            </w:r>
          </w:p>
        </w:tc>
        <w:tc>
          <w:tcPr>
            <w:tcW w:w="3696" w:type="pct"/>
            <w:gridSpan w:val="4"/>
            <w:tcBorders>
              <w:top w:val="single" w:color="auto" w:sz="4" w:space="0"/>
              <w:left w:val="nil"/>
              <w:bottom w:val="single" w:color="auto" w:sz="4" w:space="0"/>
              <w:right w:val="single" w:color="auto" w:sz="4" w:space="0"/>
            </w:tcBorders>
            <w:vAlign w:val="center"/>
          </w:tcPr>
          <w:p w14:paraId="629AF0E0">
            <w:pPr>
              <w:widowControl/>
              <w:jc w:val="center"/>
              <w:rPr>
                <w:rFonts w:ascii="宋体" w:hAnsi="宋体" w:eastAsia="宋体" w:cs="宋体"/>
                <w:b/>
                <w:bCs/>
                <w:color w:val="auto"/>
                <w:kern w:val="0"/>
                <w:sz w:val="22"/>
              </w:rPr>
            </w:pPr>
            <w:r>
              <w:rPr>
                <w:rFonts w:ascii="宋体" w:hAnsi="宋体" w:eastAsia="宋体" w:cs="宋体"/>
                <w:b/>
                <w:bCs/>
                <w:color w:val="auto"/>
                <w:kern w:val="0"/>
                <w:sz w:val="22"/>
              </w:rPr>
              <w:t>宿舍楼2-顶楼</w:t>
            </w:r>
          </w:p>
        </w:tc>
        <w:tc>
          <w:tcPr>
            <w:tcW w:w="973" w:type="pct"/>
            <w:tcBorders>
              <w:top w:val="nil"/>
              <w:left w:val="nil"/>
              <w:bottom w:val="single" w:color="auto" w:sz="4" w:space="0"/>
              <w:right w:val="single" w:color="auto" w:sz="4" w:space="0"/>
            </w:tcBorders>
            <w:vAlign w:val="bottom"/>
          </w:tcPr>
          <w:p w14:paraId="6D17B18A">
            <w:pPr>
              <w:widowControl/>
              <w:jc w:val="left"/>
              <w:rPr>
                <w:rFonts w:ascii="等线" w:hAnsi="等线" w:eastAsia="等线" w:cs="宋体"/>
                <w:color w:val="auto"/>
                <w:kern w:val="0"/>
                <w:sz w:val="22"/>
              </w:rPr>
            </w:pPr>
            <w:r>
              <w:rPr>
                <w:rFonts w:ascii="等线" w:hAnsi="等线" w:eastAsia="等线" w:cs="宋体"/>
                <w:color w:val="auto"/>
                <w:kern w:val="0"/>
                <w:sz w:val="22"/>
              </w:rPr>
              <w:t>　</w:t>
            </w:r>
          </w:p>
        </w:tc>
      </w:tr>
      <w:tr w14:paraId="701F29A3">
        <w:tblPrEx>
          <w:tblCellMar>
            <w:top w:w="0" w:type="dxa"/>
            <w:left w:w="108" w:type="dxa"/>
            <w:bottom w:w="0" w:type="dxa"/>
            <w:right w:w="108" w:type="dxa"/>
          </w:tblCellMar>
        </w:tblPrEx>
        <w:trPr>
          <w:trHeight w:val="624" w:hRule="atLeast"/>
        </w:trPr>
        <w:tc>
          <w:tcPr>
            <w:tcW w:w="331" w:type="pct"/>
            <w:tcBorders>
              <w:top w:val="nil"/>
              <w:left w:val="single" w:color="auto" w:sz="4" w:space="0"/>
              <w:bottom w:val="single" w:color="auto" w:sz="4" w:space="0"/>
              <w:right w:val="single" w:color="auto" w:sz="4" w:space="0"/>
            </w:tcBorders>
            <w:vAlign w:val="center"/>
          </w:tcPr>
          <w:p w14:paraId="29F5497A">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1343" w:type="pct"/>
            <w:tcBorders>
              <w:top w:val="nil"/>
              <w:left w:val="nil"/>
              <w:bottom w:val="single" w:color="auto" w:sz="4" w:space="0"/>
              <w:right w:val="single" w:color="auto" w:sz="4" w:space="0"/>
            </w:tcBorders>
            <w:vAlign w:val="center"/>
          </w:tcPr>
          <w:p w14:paraId="42109819">
            <w:pPr>
              <w:widowControl/>
              <w:jc w:val="center"/>
              <w:rPr>
                <w:rFonts w:ascii="宋体" w:hAnsi="宋体" w:eastAsia="宋体" w:cs="宋体"/>
                <w:color w:val="auto"/>
                <w:kern w:val="0"/>
                <w:sz w:val="22"/>
              </w:rPr>
            </w:pPr>
            <w:r>
              <w:rPr>
                <w:rFonts w:ascii="宋体" w:hAnsi="宋体" w:eastAsia="宋体" w:cs="宋体"/>
                <w:color w:val="auto"/>
                <w:kern w:val="0"/>
                <w:sz w:val="22"/>
              </w:rPr>
              <w:t>智能三相剩余电流动作继电器（4G机械款）</w:t>
            </w:r>
          </w:p>
        </w:tc>
        <w:tc>
          <w:tcPr>
            <w:tcW w:w="1646" w:type="pct"/>
            <w:tcBorders>
              <w:top w:val="nil"/>
              <w:left w:val="nil"/>
              <w:bottom w:val="single" w:color="auto" w:sz="4" w:space="0"/>
              <w:right w:val="single" w:color="auto" w:sz="4" w:space="0"/>
            </w:tcBorders>
            <w:vAlign w:val="center"/>
          </w:tcPr>
          <w:p w14:paraId="11A7DB90">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vAlign w:val="center"/>
          </w:tcPr>
          <w:p w14:paraId="6F9EED0A">
            <w:pPr>
              <w:widowControl/>
              <w:jc w:val="center"/>
              <w:rPr>
                <w:rFonts w:ascii="宋体" w:hAnsi="宋体" w:eastAsia="宋体" w:cs="宋体"/>
                <w:color w:val="auto"/>
                <w:kern w:val="0"/>
                <w:sz w:val="22"/>
              </w:rPr>
            </w:pPr>
            <w:r>
              <w:rPr>
                <w:rFonts w:ascii="宋体" w:hAnsi="宋体" w:eastAsia="宋体" w:cs="宋体"/>
                <w:color w:val="auto"/>
                <w:kern w:val="0"/>
                <w:sz w:val="22"/>
              </w:rPr>
              <w:t>个</w:t>
            </w:r>
          </w:p>
        </w:tc>
        <w:tc>
          <w:tcPr>
            <w:tcW w:w="395" w:type="pct"/>
            <w:tcBorders>
              <w:top w:val="nil"/>
              <w:left w:val="nil"/>
              <w:bottom w:val="single" w:color="auto" w:sz="4" w:space="0"/>
              <w:right w:val="single" w:color="auto" w:sz="4" w:space="0"/>
            </w:tcBorders>
            <w:vAlign w:val="center"/>
          </w:tcPr>
          <w:p w14:paraId="3EF88EA5">
            <w:pPr>
              <w:widowControl/>
              <w:jc w:val="center"/>
              <w:rPr>
                <w:rFonts w:ascii="宋体" w:hAnsi="宋体" w:eastAsia="宋体" w:cs="宋体"/>
                <w:color w:val="auto"/>
                <w:kern w:val="0"/>
                <w:sz w:val="22"/>
              </w:rPr>
            </w:pPr>
            <w:r>
              <w:rPr>
                <w:rFonts w:ascii="宋体" w:hAnsi="宋体" w:eastAsia="宋体" w:cs="宋体"/>
                <w:color w:val="auto"/>
                <w:kern w:val="0"/>
                <w:sz w:val="22"/>
              </w:rPr>
              <w:t>30</w:t>
            </w:r>
          </w:p>
        </w:tc>
        <w:tc>
          <w:tcPr>
            <w:tcW w:w="973" w:type="pct"/>
            <w:tcBorders>
              <w:top w:val="nil"/>
              <w:left w:val="nil"/>
              <w:bottom w:val="single" w:color="auto" w:sz="4" w:space="0"/>
              <w:right w:val="single" w:color="auto" w:sz="4" w:space="0"/>
            </w:tcBorders>
            <w:vAlign w:val="center"/>
          </w:tcPr>
          <w:p w14:paraId="60852D13">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3C4AA0C6">
        <w:tblPrEx>
          <w:tblCellMar>
            <w:top w:w="0" w:type="dxa"/>
            <w:left w:w="108" w:type="dxa"/>
            <w:bottom w:w="0" w:type="dxa"/>
            <w:right w:w="108" w:type="dxa"/>
          </w:tblCellMar>
        </w:tblPrEx>
        <w:trPr>
          <w:trHeight w:val="624" w:hRule="atLeast"/>
        </w:trPr>
        <w:tc>
          <w:tcPr>
            <w:tcW w:w="331" w:type="pct"/>
            <w:tcBorders>
              <w:top w:val="nil"/>
              <w:left w:val="single" w:color="auto" w:sz="4" w:space="0"/>
              <w:bottom w:val="single" w:color="auto" w:sz="4" w:space="0"/>
              <w:right w:val="single" w:color="auto" w:sz="4" w:space="0"/>
            </w:tcBorders>
            <w:vAlign w:val="center"/>
          </w:tcPr>
          <w:p w14:paraId="768D3617">
            <w:pPr>
              <w:widowControl/>
              <w:jc w:val="center"/>
              <w:rPr>
                <w:rFonts w:ascii="宋体" w:hAnsi="宋体" w:eastAsia="宋体" w:cs="宋体"/>
                <w:color w:val="auto"/>
                <w:kern w:val="0"/>
                <w:sz w:val="22"/>
              </w:rPr>
            </w:pPr>
            <w:r>
              <w:rPr>
                <w:rFonts w:ascii="宋体" w:hAnsi="宋体" w:eastAsia="宋体" w:cs="宋体"/>
                <w:color w:val="auto"/>
                <w:kern w:val="0"/>
                <w:sz w:val="22"/>
              </w:rPr>
              <w:t>(2)</w:t>
            </w:r>
          </w:p>
        </w:tc>
        <w:tc>
          <w:tcPr>
            <w:tcW w:w="1343" w:type="pct"/>
            <w:tcBorders>
              <w:top w:val="nil"/>
              <w:left w:val="nil"/>
              <w:bottom w:val="single" w:color="auto" w:sz="4" w:space="0"/>
              <w:right w:val="single" w:color="auto" w:sz="4" w:space="0"/>
            </w:tcBorders>
            <w:vAlign w:val="center"/>
          </w:tcPr>
          <w:p w14:paraId="22611581">
            <w:pPr>
              <w:widowControl/>
              <w:jc w:val="center"/>
              <w:rPr>
                <w:rFonts w:ascii="宋体" w:hAnsi="宋体" w:eastAsia="宋体" w:cs="宋体"/>
                <w:color w:val="auto"/>
                <w:kern w:val="0"/>
                <w:sz w:val="22"/>
              </w:rPr>
            </w:pPr>
            <w:r>
              <w:rPr>
                <w:rFonts w:ascii="宋体" w:hAnsi="宋体" w:eastAsia="宋体" w:cs="宋体"/>
                <w:color w:val="auto"/>
                <w:kern w:val="0"/>
                <w:sz w:val="22"/>
              </w:rPr>
              <w:t>智能三相塑壳继电器  （4G版本）</w:t>
            </w:r>
          </w:p>
        </w:tc>
        <w:tc>
          <w:tcPr>
            <w:tcW w:w="1646" w:type="pct"/>
            <w:tcBorders>
              <w:top w:val="nil"/>
              <w:left w:val="nil"/>
              <w:bottom w:val="single" w:color="auto" w:sz="4" w:space="0"/>
              <w:right w:val="single" w:color="auto" w:sz="4" w:space="0"/>
            </w:tcBorders>
            <w:vAlign w:val="center"/>
          </w:tcPr>
          <w:p w14:paraId="0182C72A">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vAlign w:val="center"/>
          </w:tcPr>
          <w:p w14:paraId="111F4CCF">
            <w:pPr>
              <w:widowControl/>
              <w:jc w:val="center"/>
              <w:rPr>
                <w:rFonts w:ascii="宋体" w:hAnsi="宋体" w:eastAsia="宋体" w:cs="宋体"/>
                <w:color w:val="auto"/>
                <w:kern w:val="0"/>
                <w:sz w:val="22"/>
              </w:rPr>
            </w:pPr>
            <w:r>
              <w:rPr>
                <w:rFonts w:ascii="宋体" w:hAnsi="宋体" w:eastAsia="宋体" w:cs="宋体"/>
                <w:color w:val="auto"/>
                <w:kern w:val="0"/>
                <w:sz w:val="22"/>
              </w:rPr>
              <w:t>个</w:t>
            </w:r>
          </w:p>
        </w:tc>
        <w:tc>
          <w:tcPr>
            <w:tcW w:w="395" w:type="pct"/>
            <w:tcBorders>
              <w:top w:val="nil"/>
              <w:left w:val="nil"/>
              <w:bottom w:val="single" w:color="auto" w:sz="4" w:space="0"/>
              <w:right w:val="single" w:color="auto" w:sz="4" w:space="0"/>
            </w:tcBorders>
            <w:vAlign w:val="center"/>
          </w:tcPr>
          <w:p w14:paraId="78D25DAA">
            <w:pPr>
              <w:widowControl/>
              <w:jc w:val="center"/>
              <w:rPr>
                <w:rFonts w:ascii="宋体" w:hAnsi="宋体" w:eastAsia="宋体" w:cs="宋体"/>
                <w:color w:val="auto"/>
                <w:kern w:val="0"/>
                <w:sz w:val="22"/>
              </w:rPr>
            </w:pPr>
            <w:r>
              <w:rPr>
                <w:rFonts w:ascii="宋体" w:hAnsi="宋体" w:eastAsia="宋体" w:cs="宋体"/>
                <w:color w:val="auto"/>
                <w:kern w:val="0"/>
                <w:sz w:val="22"/>
              </w:rPr>
              <w:t>3</w:t>
            </w:r>
          </w:p>
        </w:tc>
        <w:tc>
          <w:tcPr>
            <w:tcW w:w="973" w:type="pct"/>
            <w:tcBorders>
              <w:top w:val="nil"/>
              <w:left w:val="nil"/>
              <w:bottom w:val="single" w:color="auto" w:sz="4" w:space="0"/>
              <w:right w:val="single" w:color="auto" w:sz="4" w:space="0"/>
            </w:tcBorders>
            <w:vAlign w:val="center"/>
          </w:tcPr>
          <w:p w14:paraId="39603E81">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098ADEA1">
        <w:tblPrEx>
          <w:tblCellMar>
            <w:top w:w="0" w:type="dxa"/>
            <w:left w:w="108" w:type="dxa"/>
            <w:bottom w:w="0" w:type="dxa"/>
            <w:right w:w="108" w:type="dxa"/>
          </w:tblCellMar>
        </w:tblPrEx>
        <w:trPr>
          <w:trHeight w:val="432" w:hRule="atLeast"/>
        </w:trPr>
        <w:tc>
          <w:tcPr>
            <w:tcW w:w="331" w:type="pct"/>
            <w:tcBorders>
              <w:top w:val="nil"/>
              <w:left w:val="single" w:color="auto" w:sz="4" w:space="0"/>
              <w:bottom w:val="single" w:color="auto" w:sz="4" w:space="0"/>
              <w:right w:val="single" w:color="auto" w:sz="4" w:space="0"/>
            </w:tcBorders>
            <w:vAlign w:val="center"/>
          </w:tcPr>
          <w:p w14:paraId="16069177">
            <w:pPr>
              <w:widowControl/>
              <w:jc w:val="center"/>
              <w:rPr>
                <w:rFonts w:ascii="宋体" w:hAnsi="宋体" w:eastAsia="宋体" w:cs="宋体"/>
                <w:color w:val="auto"/>
                <w:kern w:val="0"/>
                <w:sz w:val="22"/>
              </w:rPr>
            </w:pPr>
            <w:r>
              <w:rPr>
                <w:rFonts w:ascii="宋体" w:hAnsi="宋体" w:eastAsia="宋体" w:cs="宋体"/>
                <w:color w:val="auto"/>
                <w:kern w:val="0"/>
                <w:sz w:val="22"/>
              </w:rPr>
              <w:t>(3)</w:t>
            </w:r>
          </w:p>
        </w:tc>
        <w:tc>
          <w:tcPr>
            <w:tcW w:w="1343" w:type="pct"/>
            <w:tcBorders>
              <w:top w:val="nil"/>
              <w:left w:val="nil"/>
              <w:bottom w:val="single" w:color="auto" w:sz="4" w:space="0"/>
              <w:right w:val="single" w:color="auto" w:sz="4" w:space="0"/>
            </w:tcBorders>
            <w:vAlign w:val="center"/>
          </w:tcPr>
          <w:p w14:paraId="15074B4A">
            <w:pPr>
              <w:widowControl/>
              <w:jc w:val="center"/>
              <w:rPr>
                <w:rFonts w:ascii="宋体" w:hAnsi="宋体" w:eastAsia="宋体" w:cs="宋体"/>
                <w:color w:val="auto"/>
                <w:kern w:val="0"/>
                <w:sz w:val="22"/>
              </w:rPr>
            </w:pPr>
            <w:r>
              <w:rPr>
                <w:rFonts w:ascii="宋体" w:hAnsi="宋体" w:eastAsia="宋体" w:cs="宋体"/>
                <w:color w:val="auto"/>
                <w:kern w:val="0"/>
                <w:sz w:val="22"/>
              </w:rPr>
              <w:t>数据通讯</w:t>
            </w:r>
          </w:p>
        </w:tc>
        <w:tc>
          <w:tcPr>
            <w:tcW w:w="1646" w:type="pct"/>
            <w:tcBorders>
              <w:top w:val="nil"/>
              <w:left w:val="nil"/>
              <w:bottom w:val="single" w:color="auto" w:sz="4" w:space="0"/>
              <w:right w:val="single" w:color="auto" w:sz="4" w:space="0"/>
            </w:tcBorders>
            <w:vAlign w:val="center"/>
          </w:tcPr>
          <w:p w14:paraId="53E00D2E">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vAlign w:val="center"/>
          </w:tcPr>
          <w:p w14:paraId="5566797F">
            <w:pPr>
              <w:widowControl/>
              <w:jc w:val="center"/>
              <w:rPr>
                <w:rFonts w:ascii="宋体" w:hAnsi="宋体" w:eastAsia="宋体" w:cs="宋体"/>
                <w:color w:val="auto"/>
                <w:kern w:val="0"/>
                <w:sz w:val="22"/>
              </w:rPr>
            </w:pPr>
            <w:r>
              <w:rPr>
                <w:rFonts w:ascii="宋体" w:hAnsi="宋体" w:eastAsia="宋体" w:cs="宋体"/>
                <w:color w:val="auto"/>
                <w:kern w:val="0"/>
                <w:sz w:val="22"/>
              </w:rPr>
              <w:t>套</w:t>
            </w:r>
          </w:p>
        </w:tc>
        <w:tc>
          <w:tcPr>
            <w:tcW w:w="395" w:type="pct"/>
            <w:tcBorders>
              <w:top w:val="nil"/>
              <w:left w:val="nil"/>
              <w:bottom w:val="single" w:color="auto" w:sz="4" w:space="0"/>
              <w:right w:val="single" w:color="auto" w:sz="4" w:space="0"/>
            </w:tcBorders>
            <w:vAlign w:val="center"/>
          </w:tcPr>
          <w:p w14:paraId="574FEA88">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973" w:type="pct"/>
            <w:tcBorders>
              <w:top w:val="nil"/>
              <w:left w:val="nil"/>
              <w:bottom w:val="single" w:color="auto" w:sz="4" w:space="0"/>
              <w:right w:val="single" w:color="auto" w:sz="4" w:space="0"/>
            </w:tcBorders>
            <w:vAlign w:val="center"/>
          </w:tcPr>
          <w:p w14:paraId="2FE544BD">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691714B2">
        <w:tblPrEx>
          <w:tblCellMar>
            <w:top w:w="0" w:type="dxa"/>
            <w:left w:w="108" w:type="dxa"/>
            <w:bottom w:w="0" w:type="dxa"/>
            <w:right w:w="108" w:type="dxa"/>
          </w:tblCellMar>
        </w:tblPrEx>
        <w:trPr>
          <w:trHeight w:val="432" w:hRule="atLeast"/>
        </w:trPr>
        <w:tc>
          <w:tcPr>
            <w:tcW w:w="331" w:type="pct"/>
            <w:tcBorders>
              <w:top w:val="nil"/>
              <w:left w:val="single" w:color="auto" w:sz="4" w:space="0"/>
              <w:bottom w:val="single" w:color="auto" w:sz="4" w:space="0"/>
              <w:right w:val="single" w:color="auto" w:sz="4" w:space="0"/>
            </w:tcBorders>
            <w:vAlign w:val="center"/>
          </w:tcPr>
          <w:p w14:paraId="2F8B8368">
            <w:pPr>
              <w:widowControl/>
              <w:jc w:val="center"/>
              <w:rPr>
                <w:rFonts w:ascii="宋体" w:hAnsi="宋体" w:eastAsia="宋体" w:cs="宋体"/>
                <w:color w:val="auto"/>
                <w:kern w:val="0"/>
                <w:sz w:val="22"/>
              </w:rPr>
            </w:pPr>
            <w:r>
              <w:rPr>
                <w:rFonts w:ascii="宋体" w:hAnsi="宋体" w:eastAsia="宋体" w:cs="宋体"/>
                <w:color w:val="auto"/>
                <w:kern w:val="0"/>
                <w:sz w:val="22"/>
              </w:rPr>
              <w:t>1.5</w:t>
            </w:r>
          </w:p>
        </w:tc>
        <w:tc>
          <w:tcPr>
            <w:tcW w:w="1343" w:type="pct"/>
            <w:tcBorders>
              <w:top w:val="nil"/>
              <w:left w:val="nil"/>
              <w:bottom w:val="single" w:color="auto" w:sz="4" w:space="0"/>
              <w:right w:val="single" w:color="auto" w:sz="4" w:space="0"/>
            </w:tcBorders>
            <w:vAlign w:val="center"/>
          </w:tcPr>
          <w:p w14:paraId="163CFA1C">
            <w:pPr>
              <w:widowControl/>
              <w:jc w:val="center"/>
              <w:rPr>
                <w:rFonts w:ascii="宋体" w:hAnsi="宋体" w:eastAsia="宋体" w:cs="宋体"/>
                <w:color w:val="auto"/>
                <w:kern w:val="0"/>
                <w:sz w:val="22"/>
              </w:rPr>
            </w:pPr>
            <w:r>
              <w:rPr>
                <w:rFonts w:ascii="宋体" w:hAnsi="宋体" w:eastAsia="宋体" w:cs="宋体"/>
                <w:color w:val="auto"/>
                <w:kern w:val="0"/>
                <w:sz w:val="22"/>
              </w:rPr>
              <w:t>施工调试费用</w:t>
            </w:r>
          </w:p>
        </w:tc>
        <w:tc>
          <w:tcPr>
            <w:tcW w:w="1646" w:type="pct"/>
            <w:tcBorders>
              <w:top w:val="nil"/>
              <w:left w:val="nil"/>
              <w:bottom w:val="single" w:color="auto" w:sz="4" w:space="0"/>
              <w:right w:val="single" w:color="auto" w:sz="4" w:space="0"/>
            </w:tcBorders>
            <w:vAlign w:val="center"/>
          </w:tcPr>
          <w:p w14:paraId="3C53C908">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vAlign w:val="center"/>
          </w:tcPr>
          <w:p w14:paraId="75540EF8">
            <w:pPr>
              <w:widowControl/>
              <w:jc w:val="center"/>
              <w:rPr>
                <w:rFonts w:ascii="宋体" w:hAnsi="宋体" w:eastAsia="宋体" w:cs="宋体"/>
                <w:color w:val="auto"/>
                <w:kern w:val="0"/>
                <w:sz w:val="22"/>
              </w:rPr>
            </w:pPr>
            <w:r>
              <w:rPr>
                <w:rFonts w:ascii="宋体" w:hAnsi="宋体" w:eastAsia="宋体" w:cs="宋体"/>
                <w:color w:val="auto"/>
                <w:kern w:val="0"/>
                <w:sz w:val="22"/>
              </w:rPr>
              <w:t>项</w:t>
            </w:r>
          </w:p>
        </w:tc>
        <w:tc>
          <w:tcPr>
            <w:tcW w:w="395" w:type="pct"/>
            <w:tcBorders>
              <w:top w:val="nil"/>
              <w:left w:val="nil"/>
              <w:bottom w:val="single" w:color="auto" w:sz="4" w:space="0"/>
              <w:right w:val="single" w:color="auto" w:sz="4" w:space="0"/>
            </w:tcBorders>
            <w:vAlign w:val="center"/>
          </w:tcPr>
          <w:p w14:paraId="34CF42D8">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973" w:type="pct"/>
            <w:tcBorders>
              <w:top w:val="nil"/>
              <w:left w:val="nil"/>
              <w:bottom w:val="single" w:color="auto" w:sz="4" w:space="0"/>
              <w:right w:val="single" w:color="auto" w:sz="4" w:space="0"/>
            </w:tcBorders>
            <w:vAlign w:val="center"/>
          </w:tcPr>
          <w:p w14:paraId="0E4430F6">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3C5BE7A5">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197A6CB2">
            <w:pPr>
              <w:widowControl/>
              <w:jc w:val="center"/>
              <w:rPr>
                <w:rFonts w:ascii="宋体" w:hAnsi="宋体" w:eastAsia="宋体" w:cs="宋体"/>
                <w:b/>
                <w:bCs/>
                <w:color w:val="auto"/>
                <w:kern w:val="0"/>
                <w:sz w:val="22"/>
              </w:rPr>
            </w:pPr>
            <w:r>
              <w:rPr>
                <w:rFonts w:ascii="宋体" w:hAnsi="宋体" w:eastAsia="宋体" w:cs="宋体"/>
                <w:b/>
                <w:bCs/>
                <w:color w:val="auto"/>
                <w:kern w:val="0"/>
                <w:sz w:val="22"/>
              </w:rPr>
              <w:t>2</w:t>
            </w:r>
          </w:p>
        </w:tc>
        <w:tc>
          <w:tcPr>
            <w:tcW w:w="3696" w:type="pct"/>
            <w:gridSpan w:val="4"/>
            <w:tcBorders>
              <w:top w:val="single" w:color="auto" w:sz="4" w:space="0"/>
              <w:left w:val="nil"/>
              <w:bottom w:val="single" w:color="auto" w:sz="4" w:space="0"/>
              <w:right w:val="single" w:color="auto" w:sz="4" w:space="0"/>
            </w:tcBorders>
            <w:vAlign w:val="center"/>
          </w:tcPr>
          <w:p w14:paraId="08A8A822">
            <w:pPr>
              <w:widowControl/>
              <w:jc w:val="center"/>
              <w:rPr>
                <w:rFonts w:ascii="宋体" w:hAnsi="宋体" w:eastAsia="宋体" w:cs="宋体"/>
                <w:b/>
                <w:bCs/>
                <w:color w:val="auto"/>
                <w:kern w:val="0"/>
                <w:sz w:val="22"/>
              </w:rPr>
            </w:pPr>
            <w:r>
              <w:rPr>
                <w:rFonts w:ascii="宋体" w:hAnsi="宋体" w:eastAsia="宋体" w:cs="宋体"/>
                <w:b/>
                <w:bCs/>
                <w:color w:val="auto"/>
                <w:kern w:val="0"/>
                <w:sz w:val="22"/>
              </w:rPr>
              <w:t>低压抽屉柜智能监测仪表</w:t>
            </w:r>
          </w:p>
        </w:tc>
        <w:tc>
          <w:tcPr>
            <w:tcW w:w="973" w:type="pct"/>
            <w:tcBorders>
              <w:top w:val="nil"/>
              <w:left w:val="nil"/>
              <w:bottom w:val="single" w:color="auto" w:sz="4" w:space="0"/>
              <w:right w:val="single" w:color="auto" w:sz="4" w:space="0"/>
            </w:tcBorders>
            <w:vAlign w:val="bottom"/>
          </w:tcPr>
          <w:p w14:paraId="4946CE0F">
            <w:pPr>
              <w:widowControl/>
              <w:jc w:val="left"/>
              <w:rPr>
                <w:rFonts w:ascii="等线" w:hAnsi="等线" w:eastAsia="等线" w:cs="宋体"/>
                <w:color w:val="auto"/>
                <w:kern w:val="0"/>
                <w:sz w:val="22"/>
              </w:rPr>
            </w:pPr>
            <w:r>
              <w:rPr>
                <w:rFonts w:ascii="等线" w:hAnsi="等线" w:eastAsia="等线" w:cs="宋体"/>
                <w:color w:val="auto"/>
                <w:kern w:val="0"/>
                <w:sz w:val="22"/>
              </w:rPr>
              <w:t>　</w:t>
            </w:r>
          </w:p>
        </w:tc>
      </w:tr>
      <w:tr w14:paraId="4313BE52">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2CD288BF">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1343" w:type="pct"/>
            <w:tcBorders>
              <w:top w:val="nil"/>
              <w:left w:val="nil"/>
              <w:bottom w:val="single" w:color="auto" w:sz="4" w:space="0"/>
              <w:right w:val="single" w:color="auto" w:sz="4" w:space="0"/>
            </w:tcBorders>
            <w:shd w:val="clear" w:color="000000" w:fill="FFFFFF"/>
            <w:vAlign w:val="center"/>
          </w:tcPr>
          <w:p w14:paraId="23D4DF21">
            <w:pPr>
              <w:widowControl/>
              <w:jc w:val="center"/>
              <w:rPr>
                <w:rFonts w:ascii="宋体" w:hAnsi="宋体" w:eastAsia="宋体" w:cs="宋体"/>
                <w:color w:val="auto"/>
                <w:kern w:val="0"/>
                <w:sz w:val="22"/>
              </w:rPr>
            </w:pPr>
            <w:r>
              <w:rPr>
                <w:rFonts w:ascii="宋体" w:hAnsi="宋体" w:eastAsia="宋体" w:cs="宋体"/>
                <w:color w:val="auto"/>
                <w:kern w:val="0"/>
                <w:sz w:val="22"/>
              </w:rPr>
              <w:t>0.4kV多功能仪表</w:t>
            </w:r>
          </w:p>
        </w:tc>
        <w:tc>
          <w:tcPr>
            <w:tcW w:w="1646" w:type="pct"/>
            <w:tcBorders>
              <w:top w:val="nil"/>
              <w:left w:val="nil"/>
              <w:bottom w:val="single" w:color="auto" w:sz="4" w:space="0"/>
              <w:right w:val="single" w:color="auto" w:sz="4" w:space="0"/>
            </w:tcBorders>
            <w:shd w:val="clear" w:color="000000" w:fill="FFFFFF"/>
            <w:vAlign w:val="center"/>
          </w:tcPr>
          <w:p w14:paraId="3880C35D">
            <w:pPr>
              <w:widowControl/>
              <w:jc w:val="center"/>
              <w:rPr>
                <w:rFonts w:ascii="宋体" w:hAnsi="宋体" w:eastAsia="宋体" w:cs="宋体"/>
                <w:color w:val="auto"/>
                <w:kern w:val="0"/>
                <w:sz w:val="22"/>
              </w:rPr>
            </w:pPr>
            <w:r>
              <w:rPr>
                <w:rFonts w:ascii="宋体" w:hAnsi="宋体" w:eastAsia="宋体" w:cs="宋体"/>
                <w:color w:val="auto"/>
                <w:kern w:val="0"/>
                <w:sz w:val="22"/>
              </w:rPr>
              <w:t>IHD530S</w:t>
            </w:r>
          </w:p>
        </w:tc>
        <w:tc>
          <w:tcPr>
            <w:tcW w:w="312" w:type="pct"/>
            <w:tcBorders>
              <w:top w:val="nil"/>
              <w:left w:val="nil"/>
              <w:bottom w:val="single" w:color="auto" w:sz="4" w:space="0"/>
              <w:right w:val="single" w:color="auto" w:sz="4" w:space="0"/>
            </w:tcBorders>
            <w:shd w:val="clear" w:color="000000" w:fill="FFFFFF"/>
            <w:vAlign w:val="center"/>
          </w:tcPr>
          <w:p w14:paraId="3ED3A07A">
            <w:pPr>
              <w:widowControl/>
              <w:jc w:val="center"/>
              <w:rPr>
                <w:rFonts w:ascii="宋体" w:hAnsi="宋体" w:eastAsia="宋体" w:cs="宋体"/>
                <w:color w:val="auto"/>
                <w:kern w:val="0"/>
                <w:sz w:val="22"/>
              </w:rPr>
            </w:pPr>
            <w:r>
              <w:rPr>
                <w:rFonts w:ascii="宋体" w:hAnsi="宋体" w:eastAsia="宋体" w:cs="宋体"/>
                <w:color w:val="auto"/>
                <w:kern w:val="0"/>
                <w:sz w:val="22"/>
              </w:rPr>
              <w:t>台</w:t>
            </w:r>
          </w:p>
        </w:tc>
        <w:tc>
          <w:tcPr>
            <w:tcW w:w="395" w:type="pct"/>
            <w:tcBorders>
              <w:top w:val="nil"/>
              <w:left w:val="nil"/>
              <w:bottom w:val="single" w:color="auto" w:sz="4" w:space="0"/>
              <w:right w:val="single" w:color="auto" w:sz="4" w:space="0"/>
            </w:tcBorders>
            <w:shd w:val="clear" w:color="000000" w:fill="FFFFFF"/>
            <w:vAlign w:val="center"/>
          </w:tcPr>
          <w:p w14:paraId="57C02C0E">
            <w:pPr>
              <w:widowControl/>
              <w:jc w:val="center"/>
              <w:rPr>
                <w:rFonts w:ascii="宋体" w:hAnsi="宋体" w:eastAsia="宋体" w:cs="宋体"/>
                <w:color w:val="auto"/>
                <w:kern w:val="0"/>
                <w:sz w:val="22"/>
              </w:rPr>
            </w:pPr>
            <w:r>
              <w:rPr>
                <w:rFonts w:ascii="宋体" w:hAnsi="宋体" w:eastAsia="宋体" w:cs="宋体"/>
                <w:color w:val="auto"/>
                <w:kern w:val="0"/>
                <w:sz w:val="22"/>
              </w:rPr>
              <w:t>45</w:t>
            </w:r>
          </w:p>
        </w:tc>
        <w:tc>
          <w:tcPr>
            <w:tcW w:w="973" w:type="pct"/>
            <w:tcBorders>
              <w:top w:val="nil"/>
              <w:left w:val="nil"/>
              <w:bottom w:val="single" w:color="auto" w:sz="4" w:space="0"/>
              <w:right w:val="single" w:color="auto" w:sz="4" w:space="0"/>
            </w:tcBorders>
            <w:shd w:val="clear" w:color="000000" w:fill="FFFFFF"/>
            <w:vAlign w:val="center"/>
          </w:tcPr>
          <w:p w14:paraId="0266F6B9">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462396CD">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67792296">
            <w:pPr>
              <w:widowControl/>
              <w:jc w:val="center"/>
              <w:rPr>
                <w:rFonts w:ascii="宋体" w:hAnsi="宋体" w:eastAsia="宋体" w:cs="宋体"/>
                <w:color w:val="auto"/>
                <w:kern w:val="0"/>
                <w:sz w:val="22"/>
              </w:rPr>
            </w:pPr>
            <w:r>
              <w:rPr>
                <w:rFonts w:ascii="宋体" w:hAnsi="宋体" w:eastAsia="宋体" w:cs="宋体"/>
                <w:color w:val="auto"/>
                <w:kern w:val="0"/>
                <w:sz w:val="22"/>
              </w:rPr>
              <w:t>(2)</w:t>
            </w:r>
          </w:p>
        </w:tc>
        <w:tc>
          <w:tcPr>
            <w:tcW w:w="1343" w:type="pct"/>
            <w:tcBorders>
              <w:top w:val="nil"/>
              <w:left w:val="nil"/>
              <w:bottom w:val="single" w:color="auto" w:sz="4" w:space="0"/>
              <w:right w:val="single" w:color="auto" w:sz="4" w:space="0"/>
            </w:tcBorders>
            <w:shd w:val="clear" w:color="000000" w:fill="FFFFFF"/>
            <w:vAlign w:val="center"/>
          </w:tcPr>
          <w:p w14:paraId="2D30BA52">
            <w:pPr>
              <w:widowControl/>
              <w:jc w:val="center"/>
              <w:rPr>
                <w:rFonts w:ascii="宋体" w:hAnsi="宋体" w:eastAsia="宋体" w:cs="宋体"/>
                <w:color w:val="auto"/>
                <w:kern w:val="0"/>
                <w:sz w:val="22"/>
              </w:rPr>
            </w:pPr>
            <w:r>
              <w:rPr>
                <w:rFonts w:ascii="宋体" w:hAnsi="宋体" w:eastAsia="宋体" w:cs="宋体"/>
                <w:color w:val="auto"/>
                <w:kern w:val="0"/>
                <w:sz w:val="22"/>
              </w:rPr>
              <w:t>屏柜</w:t>
            </w:r>
          </w:p>
        </w:tc>
        <w:tc>
          <w:tcPr>
            <w:tcW w:w="1646" w:type="pct"/>
            <w:tcBorders>
              <w:top w:val="nil"/>
              <w:left w:val="nil"/>
              <w:bottom w:val="single" w:color="auto" w:sz="4" w:space="0"/>
              <w:right w:val="single" w:color="auto" w:sz="4" w:space="0"/>
            </w:tcBorders>
            <w:shd w:val="clear" w:color="000000" w:fill="FFFFFF"/>
            <w:vAlign w:val="center"/>
          </w:tcPr>
          <w:p w14:paraId="4168AFDC">
            <w:pPr>
              <w:widowControl/>
              <w:jc w:val="center"/>
              <w:rPr>
                <w:rFonts w:ascii="宋体" w:hAnsi="宋体" w:eastAsia="宋体" w:cs="宋体"/>
                <w:color w:val="auto"/>
                <w:kern w:val="0"/>
                <w:sz w:val="22"/>
              </w:rPr>
            </w:pPr>
            <w:r>
              <w:rPr>
                <w:rFonts w:ascii="宋体" w:hAnsi="宋体" w:eastAsia="宋体" w:cs="宋体"/>
                <w:color w:val="auto"/>
                <w:kern w:val="0"/>
                <w:sz w:val="22"/>
              </w:rPr>
              <w:t>PK-10,2260*800*600</w:t>
            </w:r>
          </w:p>
        </w:tc>
        <w:tc>
          <w:tcPr>
            <w:tcW w:w="312" w:type="pct"/>
            <w:tcBorders>
              <w:top w:val="nil"/>
              <w:left w:val="nil"/>
              <w:bottom w:val="single" w:color="auto" w:sz="4" w:space="0"/>
              <w:right w:val="single" w:color="auto" w:sz="4" w:space="0"/>
            </w:tcBorders>
            <w:shd w:val="clear" w:color="000000" w:fill="FFFFFF"/>
            <w:vAlign w:val="center"/>
          </w:tcPr>
          <w:p w14:paraId="682F5D1E">
            <w:pPr>
              <w:widowControl/>
              <w:jc w:val="center"/>
              <w:rPr>
                <w:rFonts w:ascii="宋体" w:hAnsi="宋体" w:eastAsia="宋体" w:cs="宋体"/>
                <w:color w:val="auto"/>
                <w:kern w:val="0"/>
                <w:sz w:val="22"/>
              </w:rPr>
            </w:pPr>
            <w:r>
              <w:rPr>
                <w:rFonts w:ascii="宋体" w:hAnsi="宋体" w:eastAsia="宋体" w:cs="宋体"/>
                <w:color w:val="auto"/>
                <w:kern w:val="0"/>
                <w:sz w:val="22"/>
              </w:rPr>
              <w:t>面</w:t>
            </w:r>
          </w:p>
        </w:tc>
        <w:tc>
          <w:tcPr>
            <w:tcW w:w="395" w:type="pct"/>
            <w:tcBorders>
              <w:top w:val="nil"/>
              <w:left w:val="nil"/>
              <w:bottom w:val="single" w:color="auto" w:sz="4" w:space="0"/>
              <w:right w:val="single" w:color="auto" w:sz="4" w:space="0"/>
            </w:tcBorders>
            <w:shd w:val="clear" w:color="000000" w:fill="FFFFFF"/>
            <w:vAlign w:val="center"/>
          </w:tcPr>
          <w:p w14:paraId="7C142BB3">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973" w:type="pct"/>
            <w:tcBorders>
              <w:top w:val="nil"/>
              <w:left w:val="nil"/>
              <w:bottom w:val="single" w:color="auto" w:sz="4" w:space="0"/>
              <w:right w:val="single" w:color="auto" w:sz="4" w:space="0"/>
            </w:tcBorders>
            <w:shd w:val="clear" w:color="000000" w:fill="FFFFFF"/>
            <w:vAlign w:val="center"/>
          </w:tcPr>
          <w:p w14:paraId="2CDD7022">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7A1AEE1C">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5E5D1721">
            <w:pPr>
              <w:widowControl/>
              <w:jc w:val="center"/>
              <w:rPr>
                <w:rFonts w:ascii="宋体" w:hAnsi="宋体" w:eastAsia="宋体" w:cs="宋体"/>
                <w:color w:val="auto"/>
                <w:kern w:val="0"/>
                <w:sz w:val="22"/>
              </w:rPr>
            </w:pPr>
            <w:r>
              <w:rPr>
                <w:rFonts w:ascii="宋体" w:hAnsi="宋体" w:eastAsia="宋体" w:cs="宋体"/>
                <w:color w:val="auto"/>
                <w:kern w:val="0"/>
                <w:sz w:val="22"/>
              </w:rPr>
              <w:t>(3)</w:t>
            </w:r>
          </w:p>
        </w:tc>
        <w:tc>
          <w:tcPr>
            <w:tcW w:w="1343" w:type="pct"/>
            <w:tcBorders>
              <w:top w:val="nil"/>
              <w:left w:val="nil"/>
              <w:bottom w:val="single" w:color="auto" w:sz="4" w:space="0"/>
              <w:right w:val="single" w:color="auto" w:sz="4" w:space="0"/>
            </w:tcBorders>
            <w:shd w:val="clear" w:color="000000" w:fill="FFFFFF"/>
            <w:vAlign w:val="center"/>
          </w:tcPr>
          <w:p w14:paraId="344D32F7">
            <w:pPr>
              <w:widowControl/>
              <w:jc w:val="center"/>
              <w:rPr>
                <w:rFonts w:ascii="宋体" w:hAnsi="宋体" w:eastAsia="宋体" w:cs="宋体"/>
                <w:color w:val="auto"/>
                <w:kern w:val="0"/>
                <w:sz w:val="22"/>
              </w:rPr>
            </w:pPr>
            <w:r>
              <w:rPr>
                <w:rFonts w:ascii="宋体" w:hAnsi="宋体" w:eastAsia="宋体" w:cs="宋体"/>
                <w:color w:val="auto"/>
                <w:kern w:val="0"/>
                <w:sz w:val="22"/>
              </w:rPr>
              <w:t>电流互感器</w:t>
            </w:r>
          </w:p>
        </w:tc>
        <w:tc>
          <w:tcPr>
            <w:tcW w:w="1646" w:type="pct"/>
            <w:tcBorders>
              <w:top w:val="nil"/>
              <w:left w:val="nil"/>
              <w:bottom w:val="single" w:color="auto" w:sz="4" w:space="0"/>
              <w:right w:val="single" w:color="auto" w:sz="4" w:space="0"/>
            </w:tcBorders>
            <w:shd w:val="clear" w:color="000000" w:fill="FFFFFF"/>
            <w:vAlign w:val="center"/>
          </w:tcPr>
          <w:p w14:paraId="10A90FBD">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shd w:val="clear" w:color="000000" w:fill="FFFFFF"/>
            <w:vAlign w:val="center"/>
          </w:tcPr>
          <w:p w14:paraId="40CD8F9D">
            <w:pPr>
              <w:widowControl/>
              <w:jc w:val="center"/>
              <w:rPr>
                <w:rFonts w:ascii="宋体" w:hAnsi="宋体" w:eastAsia="宋体" w:cs="宋体"/>
                <w:color w:val="auto"/>
                <w:kern w:val="0"/>
                <w:sz w:val="22"/>
              </w:rPr>
            </w:pPr>
            <w:r>
              <w:rPr>
                <w:rFonts w:ascii="宋体" w:hAnsi="宋体" w:eastAsia="宋体" w:cs="宋体"/>
                <w:color w:val="auto"/>
                <w:kern w:val="0"/>
                <w:sz w:val="22"/>
              </w:rPr>
              <w:t>只</w:t>
            </w:r>
          </w:p>
        </w:tc>
        <w:tc>
          <w:tcPr>
            <w:tcW w:w="395" w:type="pct"/>
            <w:tcBorders>
              <w:top w:val="nil"/>
              <w:left w:val="nil"/>
              <w:bottom w:val="single" w:color="auto" w:sz="4" w:space="0"/>
              <w:right w:val="single" w:color="auto" w:sz="4" w:space="0"/>
            </w:tcBorders>
            <w:shd w:val="clear" w:color="000000" w:fill="FFFFFF"/>
            <w:vAlign w:val="center"/>
          </w:tcPr>
          <w:p w14:paraId="290B5E97">
            <w:pPr>
              <w:widowControl/>
              <w:jc w:val="center"/>
              <w:rPr>
                <w:rFonts w:ascii="宋体" w:hAnsi="宋体" w:eastAsia="宋体" w:cs="宋体"/>
                <w:color w:val="auto"/>
                <w:kern w:val="0"/>
                <w:sz w:val="22"/>
              </w:rPr>
            </w:pPr>
            <w:r>
              <w:rPr>
                <w:rFonts w:ascii="宋体" w:hAnsi="宋体" w:eastAsia="宋体" w:cs="宋体"/>
                <w:color w:val="auto"/>
                <w:kern w:val="0"/>
                <w:sz w:val="22"/>
              </w:rPr>
              <w:t>135</w:t>
            </w:r>
          </w:p>
        </w:tc>
        <w:tc>
          <w:tcPr>
            <w:tcW w:w="973" w:type="pct"/>
            <w:tcBorders>
              <w:top w:val="nil"/>
              <w:left w:val="nil"/>
              <w:bottom w:val="single" w:color="auto" w:sz="4" w:space="0"/>
              <w:right w:val="single" w:color="auto" w:sz="4" w:space="0"/>
            </w:tcBorders>
            <w:shd w:val="clear" w:color="000000" w:fill="FFFFFF"/>
            <w:vAlign w:val="center"/>
          </w:tcPr>
          <w:p w14:paraId="3438978E">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2F54139C">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762DABF8">
            <w:pPr>
              <w:widowControl/>
              <w:jc w:val="center"/>
              <w:rPr>
                <w:rFonts w:ascii="宋体" w:hAnsi="宋体" w:eastAsia="宋体" w:cs="宋体"/>
                <w:color w:val="auto"/>
                <w:kern w:val="0"/>
                <w:sz w:val="22"/>
              </w:rPr>
            </w:pPr>
            <w:r>
              <w:rPr>
                <w:rFonts w:ascii="宋体" w:hAnsi="宋体" w:eastAsia="宋体" w:cs="宋体"/>
                <w:color w:val="auto"/>
                <w:kern w:val="0"/>
                <w:sz w:val="22"/>
              </w:rPr>
              <w:t>(4)</w:t>
            </w:r>
          </w:p>
        </w:tc>
        <w:tc>
          <w:tcPr>
            <w:tcW w:w="1343" w:type="pct"/>
            <w:tcBorders>
              <w:top w:val="nil"/>
              <w:left w:val="nil"/>
              <w:bottom w:val="single" w:color="auto" w:sz="4" w:space="0"/>
              <w:right w:val="single" w:color="auto" w:sz="4" w:space="0"/>
            </w:tcBorders>
            <w:shd w:val="clear" w:color="000000" w:fill="FFFFFF"/>
            <w:vAlign w:val="center"/>
          </w:tcPr>
          <w:p w14:paraId="512B366A">
            <w:pPr>
              <w:widowControl/>
              <w:jc w:val="center"/>
              <w:rPr>
                <w:rFonts w:ascii="宋体" w:hAnsi="宋体" w:eastAsia="宋体" w:cs="宋体"/>
                <w:color w:val="auto"/>
                <w:kern w:val="0"/>
                <w:sz w:val="22"/>
              </w:rPr>
            </w:pPr>
            <w:r>
              <w:rPr>
                <w:rFonts w:ascii="宋体" w:hAnsi="宋体" w:eastAsia="宋体" w:cs="宋体"/>
                <w:color w:val="auto"/>
                <w:kern w:val="0"/>
                <w:sz w:val="22"/>
              </w:rPr>
              <w:t>控制电缆</w:t>
            </w:r>
          </w:p>
        </w:tc>
        <w:tc>
          <w:tcPr>
            <w:tcW w:w="1646" w:type="pct"/>
            <w:tcBorders>
              <w:top w:val="nil"/>
              <w:left w:val="nil"/>
              <w:bottom w:val="single" w:color="auto" w:sz="4" w:space="0"/>
              <w:right w:val="single" w:color="auto" w:sz="4" w:space="0"/>
            </w:tcBorders>
            <w:shd w:val="clear" w:color="000000" w:fill="FFFFFF"/>
            <w:vAlign w:val="center"/>
          </w:tcPr>
          <w:p w14:paraId="01D35AF3">
            <w:pPr>
              <w:widowControl/>
              <w:jc w:val="center"/>
              <w:rPr>
                <w:rFonts w:ascii="宋体" w:hAnsi="宋体" w:eastAsia="宋体" w:cs="宋体"/>
                <w:color w:val="auto"/>
                <w:kern w:val="0"/>
                <w:sz w:val="22"/>
              </w:rPr>
            </w:pPr>
            <w:r>
              <w:rPr>
                <w:rFonts w:ascii="宋体" w:hAnsi="宋体" w:eastAsia="宋体" w:cs="宋体"/>
                <w:color w:val="auto"/>
                <w:kern w:val="0"/>
                <w:sz w:val="22"/>
              </w:rPr>
              <w:t>4芯2.5mm2</w:t>
            </w:r>
          </w:p>
        </w:tc>
        <w:tc>
          <w:tcPr>
            <w:tcW w:w="312" w:type="pct"/>
            <w:tcBorders>
              <w:top w:val="nil"/>
              <w:left w:val="nil"/>
              <w:bottom w:val="single" w:color="auto" w:sz="4" w:space="0"/>
              <w:right w:val="single" w:color="auto" w:sz="4" w:space="0"/>
            </w:tcBorders>
            <w:shd w:val="clear" w:color="000000" w:fill="FFFFFF"/>
            <w:vAlign w:val="center"/>
          </w:tcPr>
          <w:p w14:paraId="2454D8F9">
            <w:pPr>
              <w:widowControl/>
              <w:jc w:val="center"/>
              <w:rPr>
                <w:rFonts w:ascii="宋体" w:hAnsi="宋体" w:eastAsia="宋体" w:cs="宋体"/>
                <w:color w:val="auto"/>
                <w:kern w:val="0"/>
                <w:sz w:val="22"/>
              </w:rPr>
            </w:pPr>
            <w:r>
              <w:rPr>
                <w:rFonts w:ascii="宋体" w:hAnsi="宋体" w:eastAsia="宋体" w:cs="宋体"/>
                <w:color w:val="auto"/>
                <w:kern w:val="0"/>
                <w:sz w:val="22"/>
              </w:rPr>
              <w:t>米</w:t>
            </w:r>
          </w:p>
        </w:tc>
        <w:tc>
          <w:tcPr>
            <w:tcW w:w="395" w:type="pct"/>
            <w:tcBorders>
              <w:top w:val="nil"/>
              <w:left w:val="nil"/>
              <w:bottom w:val="single" w:color="auto" w:sz="4" w:space="0"/>
              <w:right w:val="single" w:color="auto" w:sz="4" w:space="0"/>
            </w:tcBorders>
            <w:shd w:val="clear" w:color="000000" w:fill="FFFFFF"/>
            <w:vAlign w:val="center"/>
          </w:tcPr>
          <w:p w14:paraId="661480E1">
            <w:pPr>
              <w:widowControl/>
              <w:jc w:val="center"/>
              <w:rPr>
                <w:rFonts w:ascii="宋体" w:hAnsi="宋体" w:eastAsia="宋体" w:cs="宋体"/>
                <w:color w:val="auto"/>
                <w:kern w:val="0"/>
                <w:sz w:val="22"/>
              </w:rPr>
            </w:pPr>
            <w:r>
              <w:rPr>
                <w:rFonts w:ascii="宋体" w:hAnsi="宋体" w:eastAsia="宋体" w:cs="宋体"/>
                <w:color w:val="auto"/>
                <w:kern w:val="0"/>
                <w:sz w:val="22"/>
              </w:rPr>
              <w:t>1000</w:t>
            </w:r>
          </w:p>
        </w:tc>
        <w:tc>
          <w:tcPr>
            <w:tcW w:w="973" w:type="pct"/>
            <w:tcBorders>
              <w:top w:val="nil"/>
              <w:left w:val="nil"/>
              <w:bottom w:val="single" w:color="auto" w:sz="4" w:space="0"/>
              <w:right w:val="single" w:color="auto" w:sz="4" w:space="0"/>
            </w:tcBorders>
            <w:shd w:val="clear" w:color="000000" w:fill="FFFFFF"/>
            <w:vAlign w:val="center"/>
          </w:tcPr>
          <w:p w14:paraId="3BA11FF7">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7FD8DF77">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47810916">
            <w:pPr>
              <w:widowControl/>
              <w:jc w:val="center"/>
              <w:rPr>
                <w:rFonts w:ascii="宋体" w:hAnsi="宋体" w:eastAsia="宋体" w:cs="宋体"/>
                <w:color w:val="auto"/>
                <w:kern w:val="0"/>
                <w:sz w:val="22"/>
              </w:rPr>
            </w:pPr>
            <w:r>
              <w:rPr>
                <w:rFonts w:ascii="宋体" w:hAnsi="宋体" w:eastAsia="宋体" w:cs="宋体"/>
                <w:color w:val="auto"/>
                <w:kern w:val="0"/>
                <w:sz w:val="22"/>
              </w:rPr>
              <w:t>(5)</w:t>
            </w:r>
          </w:p>
        </w:tc>
        <w:tc>
          <w:tcPr>
            <w:tcW w:w="1343" w:type="pct"/>
            <w:tcBorders>
              <w:top w:val="nil"/>
              <w:left w:val="nil"/>
              <w:bottom w:val="single" w:color="auto" w:sz="4" w:space="0"/>
              <w:right w:val="single" w:color="auto" w:sz="4" w:space="0"/>
            </w:tcBorders>
            <w:shd w:val="clear" w:color="000000" w:fill="FFFFFF"/>
            <w:vAlign w:val="center"/>
          </w:tcPr>
          <w:p w14:paraId="3C465A6C">
            <w:pPr>
              <w:widowControl/>
              <w:jc w:val="center"/>
              <w:rPr>
                <w:rFonts w:ascii="宋体" w:hAnsi="宋体" w:eastAsia="宋体" w:cs="宋体"/>
                <w:color w:val="auto"/>
                <w:kern w:val="0"/>
                <w:sz w:val="22"/>
              </w:rPr>
            </w:pPr>
            <w:r>
              <w:rPr>
                <w:rFonts w:ascii="宋体" w:hAnsi="宋体" w:eastAsia="宋体" w:cs="宋体"/>
                <w:color w:val="auto"/>
                <w:kern w:val="0"/>
                <w:sz w:val="22"/>
              </w:rPr>
              <w:t>施工调试费用</w:t>
            </w:r>
          </w:p>
        </w:tc>
        <w:tc>
          <w:tcPr>
            <w:tcW w:w="1646" w:type="pct"/>
            <w:tcBorders>
              <w:top w:val="nil"/>
              <w:left w:val="nil"/>
              <w:bottom w:val="single" w:color="auto" w:sz="4" w:space="0"/>
              <w:right w:val="single" w:color="auto" w:sz="4" w:space="0"/>
            </w:tcBorders>
            <w:shd w:val="clear" w:color="000000" w:fill="FFFFFF"/>
            <w:vAlign w:val="center"/>
          </w:tcPr>
          <w:p w14:paraId="7207BB5F">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shd w:val="clear" w:color="000000" w:fill="FFFFFF"/>
            <w:vAlign w:val="center"/>
          </w:tcPr>
          <w:p w14:paraId="2DAC190F">
            <w:pPr>
              <w:widowControl/>
              <w:jc w:val="center"/>
              <w:rPr>
                <w:rFonts w:ascii="宋体" w:hAnsi="宋体" w:eastAsia="宋体" w:cs="宋体"/>
                <w:color w:val="auto"/>
                <w:kern w:val="0"/>
                <w:sz w:val="22"/>
              </w:rPr>
            </w:pPr>
            <w:r>
              <w:rPr>
                <w:rFonts w:ascii="宋体" w:hAnsi="宋体" w:eastAsia="宋体" w:cs="宋体"/>
                <w:color w:val="auto"/>
                <w:kern w:val="0"/>
                <w:sz w:val="22"/>
              </w:rPr>
              <w:t>项</w:t>
            </w:r>
          </w:p>
        </w:tc>
        <w:tc>
          <w:tcPr>
            <w:tcW w:w="395" w:type="pct"/>
            <w:tcBorders>
              <w:top w:val="nil"/>
              <w:left w:val="nil"/>
              <w:bottom w:val="single" w:color="auto" w:sz="4" w:space="0"/>
              <w:right w:val="single" w:color="auto" w:sz="4" w:space="0"/>
            </w:tcBorders>
            <w:shd w:val="clear" w:color="000000" w:fill="FFFFFF"/>
            <w:vAlign w:val="center"/>
          </w:tcPr>
          <w:p w14:paraId="3E4A1D81">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973" w:type="pct"/>
            <w:tcBorders>
              <w:top w:val="nil"/>
              <w:left w:val="nil"/>
              <w:bottom w:val="single" w:color="auto" w:sz="4" w:space="0"/>
              <w:right w:val="single" w:color="auto" w:sz="4" w:space="0"/>
            </w:tcBorders>
            <w:shd w:val="clear" w:color="000000" w:fill="FFFFFF"/>
            <w:vAlign w:val="center"/>
          </w:tcPr>
          <w:p w14:paraId="3C5ABB86">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6C45331E">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6802A3F6">
            <w:pPr>
              <w:widowControl/>
              <w:jc w:val="center"/>
              <w:rPr>
                <w:rFonts w:ascii="宋体" w:hAnsi="宋体" w:eastAsia="宋体" w:cs="宋体"/>
                <w:b/>
                <w:bCs/>
                <w:color w:val="auto"/>
                <w:kern w:val="0"/>
                <w:sz w:val="22"/>
              </w:rPr>
            </w:pPr>
            <w:r>
              <w:rPr>
                <w:rFonts w:ascii="宋体" w:hAnsi="宋体" w:eastAsia="宋体" w:cs="宋体"/>
                <w:b/>
                <w:bCs/>
                <w:color w:val="auto"/>
                <w:kern w:val="0"/>
                <w:sz w:val="22"/>
              </w:rPr>
              <w:t>3</w:t>
            </w:r>
          </w:p>
        </w:tc>
        <w:tc>
          <w:tcPr>
            <w:tcW w:w="3696" w:type="pct"/>
            <w:gridSpan w:val="4"/>
            <w:tcBorders>
              <w:top w:val="single" w:color="auto" w:sz="4" w:space="0"/>
              <w:left w:val="nil"/>
              <w:bottom w:val="single" w:color="auto" w:sz="4" w:space="0"/>
              <w:right w:val="single" w:color="auto" w:sz="4" w:space="0"/>
            </w:tcBorders>
            <w:vAlign w:val="center"/>
          </w:tcPr>
          <w:p w14:paraId="4858FACB">
            <w:pPr>
              <w:widowControl/>
              <w:jc w:val="center"/>
              <w:rPr>
                <w:rFonts w:ascii="宋体" w:hAnsi="宋体" w:eastAsia="宋体" w:cs="宋体"/>
                <w:b/>
                <w:bCs/>
                <w:color w:val="auto"/>
                <w:kern w:val="0"/>
                <w:sz w:val="22"/>
              </w:rPr>
            </w:pPr>
            <w:r>
              <w:rPr>
                <w:rFonts w:ascii="宋体" w:hAnsi="宋体" w:eastAsia="宋体" w:cs="宋体"/>
                <w:b/>
                <w:bCs/>
                <w:color w:val="auto"/>
                <w:kern w:val="0"/>
                <w:sz w:val="22"/>
              </w:rPr>
              <w:t>高压开关柜智能监测装置</w:t>
            </w:r>
          </w:p>
        </w:tc>
        <w:tc>
          <w:tcPr>
            <w:tcW w:w="973" w:type="pct"/>
            <w:tcBorders>
              <w:top w:val="nil"/>
              <w:left w:val="nil"/>
              <w:bottom w:val="single" w:color="auto" w:sz="4" w:space="0"/>
              <w:right w:val="single" w:color="auto" w:sz="4" w:space="0"/>
            </w:tcBorders>
            <w:vAlign w:val="bottom"/>
          </w:tcPr>
          <w:p w14:paraId="189A2334">
            <w:pPr>
              <w:widowControl/>
              <w:jc w:val="left"/>
              <w:rPr>
                <w:rFonts w:ascii="等线" w:hAnsi="等线" w:eastAsia="等线" w:cs="宋体"/>
                <w:color w:val="auto"/>
                <w:kern w:val="0"/>
                <w:sz w:val="22"/>
              </w:rPr>
            </w:pPr>
            <w:r>
              <w:rPr>
                <w:rFonts w:ascii="等线" w:hAnsi="等线" w:eastAsia="等线" w:cs="宋体"/>
                <w:color w:val="auto"/>
                <w:kern w:val="0"/>
                <w:sz w:val="22"/>
              </w:rPr>
              <w:t>　</w:t>
            </w:r>
          </w:p>
        </w:tc>
      </w:tr>
      <w:tr w14:paraId="083F4C6D">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35C6ECB3">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1343" w:type="pct"/>
            <w:tcBorders>
              <w:top w:val="nil"/>
              <w:left w:val="nil"/>
              <w:bottom w:val="single" w:color="auto" w:sz="4" w:space="0"/>
              <w:right w:val="single" w:color="auto" w:sz="4" w:space="0"/>
            </w:tcBorders>
            <w:shd w:val="clear" w:color="000000" w:fill="FFFFFF"/>
            <w:vAlign w:val="center"/>
          </w:tcPr>
          <w:p w14:paraId="2B7370F6">
            <w:pPr>
              <w:widowControl/>
              <w:jc w:val="center"/>
              <w:rPr>
                <w:rFonts w:ascii="宋体" w:hAnsi="宋体" w:eastAsia="宋体" w:cs="宋体"/>
                <w:color w:val="auto"/>
                <w:kern w:val="0"/>
                <w:sz w:val="22"/>
              </w:rPr>
            </w:pPr>
            <w:r>
              <w:rPr>
                <w:rFonts w:ascii="宋体" w:hAnsi="宋体" w:eastAsia="宋体" w:cs="宋体"/>
                <w:color w:val="auto"/>
                <w:kern w:val="0"/>
                <w:sz w:val="22"/>
              </w:rPr>
              <w:t>线路保护测控装置</w:t>
            </w:r>
          </w:p>
        </w:tc>
        <w:tc>
          <w:tcPr>
            <w:tcW w:w="1646" w:type="pct"/>
            <w:tcBorders>
              <w:top w:val="nil"/>
              <w:left w:val="nil"/>
              <w:bottom w:val="single" w:color="auto" w:sz="4" w:space="0"/>
              <w:right w:val="single" w:color="auto" w:sz="4" w:space="0"/>
            </w:tcBorders>
            <w:shd w:val="clear" w:color="000000" w:fill="FFFFFF"/>
            <w:vAlign w:val="center"/>
          </w:tcPr>
          <w:p w14:paraId="06C1505B">
            <w:pPr>
              <w:widowControl/>
              <w:jc w:val="center"/>
              <w:rPr>
                <w:rFonts w:ascii="宋体" w:hAnsi="宋体" w:eastAsia="宋体" w:cs="宋体"/>
                <w:color w:val="auto"/>
                <w:kern w:val="0"/>
                <w:sz w:val="22"/>
              </w:rPr>
            </w:pPr>
            <w:r>
              <w:rPr>
                <w:rFonts w:ascii="宋体" w:hAnsi="宋体" w:eastAsia="宋体" w:cs="宋体"/>
                <w:color w:val="auto"/>
                <w:kern w:val="0"/>
                <w:sz w:val="22"/>
              </w:rPr>
              <w:t>IHD6100U</w:t>
            </w:r>
          </w:p>
        </w:tc>
        <w:tc>
          <w:tcPr>
            <w:tcW w:w="312" w:type="pct"/>
            <w:tcBorders>
              <w:top w:val="nil"/>
              <w:left w:val="nil"/>
              <w:bottom w:val="single" w:color="auto" w:sz="4" w:space="0"/>
              <w:right w:val="single" w:color="auto" w:sz="4" w:space="0"/>
            </w:tcBorders>
            <w:shd w:val="clear" w:color="000000" w:fill="FFFFFF"/>
            <w:vAlign w:val="center"/>
          </w:tcPr>
          <w:p w14:paraId="4134755F">
            <w:pPr>
              <w:widowControl/>
              <w:jc w:val="center"/>
              <w:rPr>
                <w:rFonts w:ascii="宋体" w:hAnsi="宋体" w:eastAsia="宋体" w:cs="宋体"/>
                <w:color w:val="auto"/>
                <w:kern w:val="0"/>
                <w:sz w:val="22"/>
              </w:rPr>
            </w:pPr>
            <w:r>
              <w:rPr>
                <w:rFonts w:ascii="宋体" w:hAnsi="宋体" w:eastAsia="宋体" w:cs="宋体"/>
                <w:color w:val="auto"/>
                <w:kern w:val="0"/>
                <w:sz w:val="22"/>
              </w:rPr>
              <w:t>台</w:t>
            </w:r>
          </w:p>
        </w:tc>
        <w:tc>
          <w:tcPr>
            <w:tcW w:w="395" w:type="pct"/>
            <w:tcBorders>
              <w:top w:val="nil"/>
              <w:left w:val="nil"/>
              <w:bottom w:val="single" w:color="auto" w:sz="4" w:space="0"/>
              <w:right w:val="single" w:color="auto" w:sz="4" w:space="0"/>
            </w:tcBorders>
            <w:shd w:val="clear" w:color="000000" w:fill="FFFFFF"/>
            <w:vAlign w:val="center"/>
          </w:tcPr>
          <w:p w14:paraId="14878DD6">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973" w:type="pct"/>
            <w:tcBorders>
              <w:top w:val="nil"/>
              <w:left w:val="nil"/>
              <w:bottom w:val="single" w:color="auto" w:sz="4" w:space="0"/>
              <w:right w:val="single" w:color="auto" w:sz="4" w:space="0"/>
            </w:tcBorders>
            <w:shd w:val="clear" w:color="000000" w:fill="FFFFFF"/>
            <w:vAlign w:val="center"/>
          </w:tcPr>
          <w:p w14:paraId="2F5919CB">
            <w:pPr>
              <w:widowControl/>
              <w:jc w:val="center"/>
              <w:rPr>
                <w:rFonts w:ascii="宋体" w:hAnsi="宋体" w:eastAsia="宋体" w:cs="宋体"/>
                <w:b/>
                <w:bCs/>
                <w:color w:val="auto"/>
                <w:kern w:val="0"/>
                <w:sz w:val="22"/>
              </w:rPr>
            </w:pPr>
            <w:r>
              <w:rPr>
                <w:rFonts w:ascii="宋体" w:hAnsi="宋体" w:eastAsia="宋体" w:cs="宋体"/>
                <w:b/>
                <w:bCs/>
                <w:color w:val="auto"/>
                <w:kern w:val="0"/>
                <w:sz w:val="22"/>
              </w:rPr>
              <w:t>　</w:t>
            </w:r>
          </w:p>
        </w:tc>
      </w:tr>
      <w:tr w14:paraId="7A843B3E">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7F63B69A">
            <w:pPr>
              <w:widowControl/>
              <w:jc w:val="center"/>
              <w:rPr>
                <w:rFonts w:ascii="宋体" w:hAnsi="宋体" w:eastAsia="宋体" w:cs="宋体"/>
                <w:color w:val="auto"/>
                <w:kern w:val="0"/>
                <w:sz w:val="22"/>
              </w:rPr>
            </w:pPr>
            <w:r>
              <w:rPr>
                <w:rFonts w:ascii="宋体" w:hAnsi="宋体" w:eastAsia="宋体" w:cs="宋体"/>
                <w:color w:val="auto"/>
                <w:kern w:val="0"/>
                <w:sz w:val="22"/>
              </w:rPr>
              <w:t>(2)</w:t>
            </w:r>
          </w:p>
        </w:tc>
        <w:tc>
          <w:tcPr>
            <w:tcW w:w="1343" w:type="pct"/>
            <w:tcBorders>
              <w:top w:val="nil"/>
              <w:left w:val="nil"/>
              <w:bottom w:val="single" w:color="auto" w:sz="4" w:space="0"/>
              <w:right w:val="single" w:color="auto" w:sz="4" w:space="0"/>
            </w:tcBorders>
            <w:shd w:val="clear" w:color="000000" w:fill="FFFFFF"/>
            <w:vAlign w:val="center"/>
          </w:tcPr>
          <w:p w14:paraId="2F613D50">
            <w:pPr>
              <w:widowControl/>
              <w:jc w:val="center"/>
              <w:rPr>
                <w:rFonts w:ascii="宋体" w:hAnsi="宋体" w:eastAsia="宋体" w:cs="宋体"/>
                <w:color w:val="auto"/>
                <w:kern w:val="0"/>
                <w:sz w:val="22"/>
              </w:rPr>
            </w:pPr>
            <w:r>
              <w:rPr>
                <w:rFonts w:ascii="宋体" w:hAnsi="宋体" w:eastAsia="宋体" w:cs="宋体"/>
                <w:color w:val="auto"/>
                <w:kern w:val="0"/>
                <w:sz w:val="22"/>
              </w:rPr>
              <w:t>更换施工调试费用</w:t>
            </w:r>
          </w:p>
        </w:tc>
        <w:tc>
          <w:tcPr>
            <w:tcW w:w="1646" w:type="pct"/>
            <w:tcBorders>
              <w:top w:val="nil"/>
              <w:left w:val="nil"/>
              <w:bottom w:val="single" w:color="auto" w:sz="4" w:space="0"/>
              <w:right w:val="single" w:color="auto" w:sz="4" w:space="0"/>
            </w:tcBorders>
            <w:shd w:val="clear" w:color="000000" w:fill="FFFFFF"/>
            <w:vAlign w:val="center"/>
          </w:tcPr>
          <w:p w14:paraId="4079FA35">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shd w:val="clear" w:color="000000" w:fill="FFFFFF"/>
            <w:vAlign w:val="center"/>
          </w:tcPr>
          <w:p w14:paraId="22809C6C">
            <w:pPr>
              <w:widowControl/>
              <w:jc w:val="center"/>
              <w:rPr>
                <w:rFonts w:ascii="宋体" w:hAnsi="宋体" w:eastAsia="宋体" w:cs="宋体"/>
                <w:color w:val="auto"/>
                <w:kern w:val="0"/>
                <w:sz w:val="22"/>
              </w:rPr>
            </w:pPr>
            <w:r>
              <w:rPr>
                <w:rFonts w:ascii="宋体" w:hAnsi="宋体" w:eastAsia="宋体" w:cs="宋体"/>
                <w:color w:val="auto"/>
                <w:kern w:val="0"/>
                <w:sz w:val="22"/>
              </w:rPr>
              <w:t>项</w:t>
            </w:r>
          </w:p>
        </w:tc>
        <w:tc>
          <w:tcPr>
            <w:tcW w:w="395" w:type="pct"/>
            <w:tcBorders>
              <w:top w:val="nil"/>
              <w:left w:val="nil"/>
              <w:bottom w:val="single" w:color="auto" w:sz="4" w:space="0"/>
              <w:right w:val="single" w:color="auto" w:sz="4" w:space="0"/>
            </w:tcBorders>
            <w:shd w:val="clear" w:color="000000" w:fill="FFFFFF"/>
            <w:vAlign w:val="center"/>
          </w:tcPr>
          <w:p w14:paraId="3AFD948E">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973" w:type="pct"/>
            <w:tcBorders>
              <w:top w:val="nil"/>
              <w:left w:val="nil"/>
              <w:bottom w:val="single" w:color="auto" w:sz="4" w:space="0"/>
              <w:right w:val="single" w:color="auto" w:sz="4" w:space="0"/>
            </w:tcBorders>
            <w:shd w:val="clear" w:color="000000" w:fill="FFFFFF"/>
            <w:vAlign w:val="center"/>
          </w:tcPr>
          <w:p w14:paraId="2D38E3B4">
            <w:pPr>
              <w:widowControl/>
              <w:jc w:val="center"/>
              <w:rPr>
                <w:rFonts w:ascii="宋体" w:hAnsi="宋体" w:eastAsia="宋体" w:cs="宋体"/>
                <w:b/>
                <w:bCs/>
                <w:color w:val="auto"/>
                <w:kern w:val="0"/>
                <w:sz w:val="22"/>
              </w:rPr>
            </w:pPr>
            <w:r>
              <w:rPr>
                <w:rFonts w:ascii="宋体" w:hAnsi="宋体" w:eastAsia="宋体" w:cs="宋体"/>
                <w:b/>
                <w:bCs/>
                <w:color w:val="auto"/>
                <w:kern w:val="0"/>
                <w:sz w:val="22"/>
              </w:rPr>
              <w:t>　</w:t>
            </w:r>
          </w:p>
        </w:tc>
      </w:tr>
      <w:tr w14:paraId="5E9D132D">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6C8AEE5D">
            <w:pPr>
              <w:widowControl/>
              <w:jc w:val="center"/>
              <w:rPr>
                <w:rFonts w:ascii="宋体" w:hAnsi="宋体" w:eastAsia="宋体" w:cs="宋体"/>
                <w:b/>
                <w:bCs/>
                <w:color w:val="auto"/>
                <w:kern w:val="0"/>
                <w:sz w:val="22"/>
              </w:rPr>
            </w:pPr>
            <w:r>
              <w:rPr>
                <w:rFonts w:ascii="宋体" w:hAnsi="宋体" w:eastAsia="宋体" w:cs="宋体"/>
                <w:b/>
                <w:bCs/>
                <w:color w:val="auto"/>
                <w:kern w:val="0"/>
                <w:sz w:val="22"/>
              </w:rPr>
              <w:t>4</w:t>
            </w:r>
          </w:p>
        </w:tc>
        <w:tc>
          <w:tcPr>
            <w:tcW w:w="3696" w:type="pct"/>
            <w:gridSpan w:val="4"/>
            <w:tcBorders>
              <w:top w:val="single" w:color="auto" w:sz="4" w:space="0"/>
              <w:left w:val="nil"/>
              <w:bottom w:val="single" w:color="auto" w:sz="4" w:space="0"/>
              <w:right w:val="single" w:color="auto" w:sz="4" w:space="0"/>
            </w:tcBorders>
            <w:vAlign w:val="center"/>
          </w:tcPr>
          <w:p w14:paraId="28E75DD2">
            <w:pPr>
              <w:widowControl/>
              <w:jc w:val="center"/>
              <w:rPr>
                <w:rFonts w:ascii="宋体" w:hAnsi="宋体" w:eastAsia="宋体" w:cs="宋体"/>
                <w:b/>
                <w:bCs/>
                <w:color w:val="auto"/>
                <w:kern w:val="0"/>
                <w:sz w:val="22"/>
              </w:rPr>
            </w:pPr>
            <w:r>
              <w:rPr>
                <w:rFonts w:ascii="宋体" w:hAnsi="宋体" w:eastAsia="宋体" w:cs="宋体"/>
                <w:b/>
                <w:bCs/>
                <w:color w:val="auto"/>
                <w:kern w:val="0"/>
                <w:sz w:val="22"/>
              </w:rPr>
              <w:t>电力设备智能温度监测</w:t>
            </w:r>
          </w:p>
        </w:tc>
        <w:tc>
          <w:tcPr>
            <w:tcW w:w="973" w:type="pct"/>
            <w:tcBorders>
              <w:top w:val="nil"/>
              <w:left w:val="nil"/>
              <w:bottom w:val="single" w:color="auto" w:sz="4" w:space="0"/>
              <w:right w:val="single" w:color="auto" w:sz="4" w:space="0"/>
            </w:tcBorders>
            <w:vAlign w:val="bottom"/>
          </w:tcPr>
          <w:p w14:paraId="4F071AD4">
            <w:pPr>
              <w:widowControl/>
              <w:jc w:val="left"/>
              <w:rPr>
                <w:rFonts w:ascii="等线" w:hAnsi="等线" w:eastAsia="等线" w:cs="宋体"/>
                <w:color w:val="auto"/>
                <w:kern w:val="0"/>
                <w:sz w:val="22"/>
              </w:rPr>
            </w:pPr>
            <w:r>
              <w:rPr>
                <w:rFonts w:ascii="等线" w:hAnsi="等线" w:eastAsia="等线" w:cs="宋体"/>
                <w:color w:val="auto"/>
                <w:kern w:val="0"/>
                <w:sz w:val="22"/>
              </w:rPr>
              <w:t>　</w:t>
            </w:r>
          </w:p>
        </w:tc>
      </w:tr>
      <w:tr w14:paraId="08FBC8A4">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4AF58F39">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1343" w:type="pct"/>
            <w:tcBorders>
              <w:top w:val="nil"/>
              <w:left w:val="nil"/>
              <w:bottom w:val="single" w:color="auto" w:sz="4" w:space="0"/>
              <w:right w:val="single" w:color="auto" w:sz="4" w:space="0"/>
            </w:tcBorders>
            <w:vAlign w:val="center"/>
          </w:tcPr>
          <w:p w14:paraId="49844A6F">
            <w:pPr>
              <w:widowControl/>
              <w:jc w:val="center"/>
              <w:rPr>
                <w:rFonts w:ascii="宋体" w:hAnsi="宋体" w:eastAsia="宋体" w:cs="宋体"/>
                <w:color w:val="auto"/>
                <w:kern w:val="0"/>
                <w:sz w:val="24"/>
                <w:szCs w:val="24"/>
              </w:rPr>
            </w:pPr>
            <w:r>
              <w:rPr>
                <w:rFonts w:ascii="宋体" w:hAnsi="宋体" w:eastAsia="宋体" w:cs="宋体"/>
                <w:color w:val="auto"/>
                <w:kern w:val="0"/>
                <w:sz w:val="24"/>
                <w:szCs w:val="24"/>
              </w:rPr>
              <w:t>变压器温度监测</w:t>
            </w:r>
          </w:p>
        </w:tc>
        <w:tc>
          <w:tcPr>
            <w:tcW w:w="1646" w:type="pct"/>
            <w:tcBorders>
              <w:top w:val="nil"/>
              <w:left w:val="nil"/>
              <w:bottom w:val="single" w:color="auto" w:sz="4" w:space="0"/>
              <w:right w:val="single" w:color="auto" w:sz="4" w:space="0"/>
            </w:tcBorders>
            <w:vAlign w:val="center"/>
          </w:tcPr>
          <w:p w14:paraId="73285E29">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vAlign w:val="center"/>
          </w:tcPr>
          <w:p w14:paraId="6EB142ED">
            <w:pPr>
              <w:widowControl/>
              <w:jc w:val="center"/>
              <w:rPr>
                <w:rFonts w:ascii="宋体" w:hAnsi="宋体" w:eastAsia="宋体" w:cs="宋体"/>
                <w:color w:val="auto"/>
                <w:kern w:val="0"/>
                <w:sz w:val="22"/>
              </w:rPr>
            </w:pPr>
            <w:r>
              <w:rPr>
                <w:rFonts w:ascii="宋体" w:hAnsi="宋体" w:eastAsia="宋体" w:cs="宋体"/>
                <w:color w:val="auto"/>
                <w:kern w:val="0"/>
                <w:sz w:val="22"/>
              </w:rPr>
              <w:t>套</w:t>
            </w:r>
          </w:p>
        </w:tc>
        <w:tc>
          <w:tcPr>
            <w:tcW w:w="395" w:type="pct"/>
            <w:tcBorders>
              <w:top w:val="nil"/>
              <w:left w:val="nil"/>
              <w:bottom w:val="single" w:color="auto" w:sz="4" w:space="0"/>
              <w:right w:val="single" w:color="auto" w:sz="4" w:space="0"/>
            </w:tcBorders>
            <w:vAlign w:val="center"/>
          </w:tcPr>
          <w:p w14:paraId="21617E01">
            <w:pPr>
              <w:widowControl/>
              <w:jc w:val="center"/>
              <w:rPr>
                <w:rFonts w:ascii="宋体" w:hAnsi="宋体" w:eastAsia="宋体" w:cs="宋体"/>
                <w:color w:val="auto"/>
                <w:kern w:val="0"/>
                <w:sz w:val="22"/>
              </w:rPr>
            </w:pPr>
            <w:r>
              <w:rPr>
                <w:rFonts w:ascii="宋体" w:hAnsi="宋体" w:eastAsia="宋体" w:cs="宋体"/>
                <w:color w:val="auto"/>
                <w:kern w:val="0"/>
                <w:sz w:val="22"/>
              </w:rPr>
              <w:t>2</w:t>
            </w:r>
          </w:p>
        </w:tc>
        <w:tc>
          <w:tcPr>
            <w:tcW w:w="973" w:type="pct"/>
            <w:tcBorders>
              <w:top w:val="nil"/>
              <w:left w:val="nil"/>
              <w:bottom w:val="single" w:color="auto" w:sz="4" w:space="0"/>
              <w:right w:val="single" w:color="auto" w:sz="4" w:space="0"/>
            </w:tcBorders>
            <w:vAlign w:val="center"/>
          </w:tcPr>
          <w:p w14:paraId="342BA23D">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32B64C1E">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3E4D042F">
            <w:pPr>
              <w:widowControl/>
              <w:jc w:val="center"/>
              <w:rPr>
                <w:rFonts w:ascii="宋体" w:hAnsi="宋体" w:eastAsia="宋体" w:cs="宋体"/>
                <w:color w:val="auto"/>
                <w:kern w:val="0"/>
                <w:sz w:val="22"/>
              </w:rPr>
            </w:pPr>
            <w:r>
              <w:rPr>
                <w:rFonts w:ascii="宋体" w:hAnsi="宋体" w:eastAsia="宋体" w:cs="宋体"/>
                <w:color w:val="auto"/>
                <w:kern w:val="0"/>
                <w:sz w:val="22"/>
              </w:rPr>
              <w:t>(2)</w:t>
            </w:r>
          </w:p>
        </w:tc>
        <w:tc>
          <w:tcPr>
            <w:tcW w:w="1343" w:type="pct"/>
            <w:tcBorders>
              <w:top w:val="nil"/>
              <w:left w:val="nil"/>
              <w:bottom w:val="single" w:color="auto" w:sz="4" w:space="0"/>
              <w:right w:val="single" w:color="auto" w:sz="4" w:space="0"/>
            </w:tcBorders>
            <w:vAlign w:val="center"/>
          </w:tcPr>
          <w:p w14:paraId="2BA6594A">
            <w:pPr>
              <w:widowControl/>
              <w:jc w:val="center"/>
              <w:rPr>
                <w:rFonts w:ascii="宋体" w:hAnsi="宋体" w:eastAsia="宋体" w:cs="宋体"/>
                <w:color w:val="auto"/>
                <w:kern w:val="0"/>
                <w:sz w:val="24"/>
                <w:szCs w:val="24"/>
              </w:rPr>
            </w:pPr>
            <w:r>
              <w:rPr>
                <w:rFonts w:ascii="宋体" w:hAnsi="宋体" w:eastAsia="宋体" w:cs="宋体"/>
                <w:color w:val="auto"/>
                <w:kern w:val="0"/>
                <w:sz w:val="24"/>
                <w:szCs w:val="24"/>
              </w:rPr>
              <w:t>开关柜温度监测</w:t>
            </w:r>
          </w:p>
        </w:tc>
        <w:tc>
          <w:tcPr>
            <w:tcW w:w="1646" w:type="pct"/>
            <w:tcBorders>
              <w:top w:val="nil"/>
              <w:left w:val="nil"/>
              <w:bottom w:val="single" w:color="auto" w:sz="4" w:space="0"/>
              <w:right w:val="single" w:color="auto" w:sz="4" w:space="0"/>
            </w:tcBorders>
            <w:vAlign w:val="center"/>
          </w:tcPr>
          <w:p w14:paraId="27BC3A09">
            <w:pPr>
              <w:widowControl/>
              <w:jc w:val="center"/>
              <w:rPr>
                <w:rFonts w:ascii="宋体" w:hAnsi="宋体" w:eastAsia="宋体" w:cs="宋体"/>
                <w:color w:val="auto"/>
                <w:kern w:val="0"/>
                <w:sz w:val="22"/>
              </w:rPr>
            </w:pPr>
            <w:r>
              <w:rPr>
                <w:rFonts w:ascii="宋体" w:hAnsi="宋体" w:eastAsia="宋体" w:cs="宋体"/>
                <w:color w:val="auto"/>
                <w:kern w:val="0"/>
                <w:sz w:val="22"/>
              </w:rPr>
              <w:t>6点测温</w:t>
            </w:r>
          </w:p>
        </w:tc>
        <w:tc>
          <w:tcPr>
            <w:tcW w:w="312" w:type="pct"/>
            <w:tcBorders>
              <w:top w:val="nil"/>
              <w:left w:val="nil"/>
              <w:bottom w:val="single" w:color="auto" w:sz="4" w:space="0"/>
              <w:right w:val="single" w:color="auto" w:sz="4" w:space="0"/>
            </w:tcBorders>
            <w:vAlign w:val="center"/>
          </w:tcPr>
          <w:p w14:paraId="7B0B300D">
            <w:pPr>
              <w:widowControl/>
              <w:jc w:val="center"/>
              <w:rPr>
                <w:rFonts w:ascii="宋体" w:hAnsi="宋体" w:eastAsia="宋体" w:cs="宋体"/>
                <w:color w:val="auto"/>
                <w:kern w:val="0"/>
                <w:sz w:val="22"/>
              </w:rPr>
            </w:pPr>
            <w:r>
              <w:rPr>
                <w:rFonts w:ascii="宋体" w:hAnsi="宋体" w:eastAsia="宋体" w:cs="宋体"/>
                <w:color w:val="auto"/>
                <w:kern w:val="0"/>
                <w:sz w:val="22"/>
              </w:rPr>
              <w:t>套</w:t>
            </w:r>
          </w:p>
        </w:tc>
        <w:tc>
          <w:tcPr>
            <w:tcW w:w="395" w:type="pct"/>
            <w:tcBorders>
              <w:top w:val="nil"/>
              <w:left w:val="nil"/>
              <w:bottom w:val="single" w:color="auto" w:sz="4" w:space="0"/>
              <w:right w:val="single" w:color="auto" w:sz="4" w:space="0"/>
            </w:tcBorders>
            <w:vAlign w:val="center"/>
          </w:tcPr>
          <w:p w14:paraId="773F592E">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973" w:type="pct"/>
            <w:tcBorders>
              <w:top w:val="nil"/>
              <w:left w:val="nil"/>
              <w:bottom w:val="single" w:color="auto" w:sz="4" w:space="0"/>
              <w:right w:val="single" w:color="auto" w:sz="4" w:space="0"/>
            </w:tcBorders>
            <w:vAlign w:val="center"/>
          </w:tcPr>
          <w:p w14:paraId="544D40A8">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5DD28135">
        <w:tblPrEx>
          <w:tblCellMar>
            <w:top w:w="0" w:type="dxa"/>
            <w:left w:w="108" w:type="dxa"/>
            <w:bottom w:w="0" w:type="dxa"/>
            <w:right w:w="108" w:type="dxa"/>
          </w:tblCellMar>
        </w:tblPrEx>
        <w:trPr>
          <w:trHeight w:val="396" w:hRule="atLeast"/>
        </w:trPr>
        <w:tc>
          <w:tcPr>
            <w:tcW w:w="331" w:type="pct"/>
            <w:vMerge w:val="restart"/>
            <w:tcBorders>
              <w:top w:val="nil"/>
              <w:left w:val="single" w:color="auto" w:sz="4" w:space="0"/>
              <w:bottom w:val="single" w:color="000000" w:sz="4" w:space="0"/>
              <w:right w:val="single" w:color="auto" w:sz="4" w:space="0"/>
            </w:tcBorders>
            <w:vAlign w:val="center"/>
          </w:tcPr>
          <w:p w14:paraId="1692E1A2">
            <w:pPr>
              <w:widowControl/>
              <w:jc w:val="center"/>
              <w:rPr>
                <w:rFonts w:ascii="宋体" w:hAnsi="宋体" w:eastAsia="宋体" w:cs="宋体"/>
                <w:color w:val="auto"/>
                <w:kern w:val="0"/>
                <w:sz w:val="22"/>
              </w:rPr>
            </w:pPr>
            <w:r>
              <w:rPr>
                <w:rFonts w:ascii="宋体" w:hAnsi="宋体" w:eastAsia="宋体" w:cs="宋体"/>
                <w:color w:val="auto"/>
                <w:kern w:val="0"/>
                <w:sz w:val="22"/>
              </w:rPr>
              <w:t>(3)</w:t>
            </w:r>
          </w:p>
        </w:tc>
        <w:tc>
          <w:tcPr>
            <w:tcW w:w="1343" w:type="pct"/>
            <w:vMerge w:val="restart"/>
            <w:tcBorders>
              <w:top w:val="nil"/>
              <w:left w:val="single" w:color="auto" w:sz="4" w:space="0"/>
              <w:bottom w:val="single" w:color="000000" w:sz="4" w:space="0"/>
              <w:right w:val="single" w:color="auto" w:sz="4" w:space="0"/>
            </w:tcBorders>
            <w:vAlign w:val="center"/>
          </w:tcPr>
          <w:p w14:paraId="1BE6C950">
            <w:pPr>
              <w:widowControl/>
              <w:jc w:val="center"/>
              <w:rPr>
                <w:rFonts w:ascii="宋体" w:hAnsi="宋体" w:eastAsia="宋体" w:cs="宋体"/>
                <w:color w:val="auto"/>
                <w:kern w:val="0"/>
                <w:sz w:val="24"/>
                <w:szCs w:val="24"/>
              </w:rPr>
            </w:pPr>
            <w:r>
              <w:rPr>
                <w:rFonts w:ascii="宋体" w:hAnsi="宋体" w:eastAsia="宋体" w:cs="宋体"/>
                <w:color w:val="auto"/>
                <w:kern w:val="0"/>
                <w:sz w:val="24"/>
                <w:szCs w:val="24"/>
              </w:rPr>
              <w:t>抽屉柜温度监测</w:t>
            </w:r>
          </w:p>
        </w:tc>
        <w:tc>
          <w:tcPr>
            <w:tcW w:w="1646" w:type="pct"/>
            <w:tcBorders>
              <w:top w:val="nil"/>
              <w:left w:val="nil"/>
              <w:bottom w:val="single" w:color="auto" w:sz="4" w:space="0"/>
              <w:right w:val="single" w:color="auto" w:sz="4" w:space="0"/>
            </w:tcBorders>
            <w:vAlign w:val="center"/>
          </w:tcPr>
          <w:p w14:paraId="7FC5C425">
            <w:pPr>
              <w:widowControl/>
              <w:jc w:val="center"/>
              <w:rPr>
                <w:rFonts w:ascii="宋体" w:hAnsi="宋体" w:eastAsia="宋体" w:cs="宋体"/>
                <w:color w:val="auto"/>
                <w:kern w:val="0"/>
                <w:sz w:val="22"/>
              </w:rPr>
            </w:pPr>
            <w:r>
              <w:rPr>
                <w:rFonts w:ascii="宋体" w:hAnsi="宋体" w:eastAsia="宋体" w:cs="宋体"/>
                <w:color w:val="auto"/>
                <w:kern w:val="0"/>
                <w:sz w:val="22"/>
              </w:rPr>
              <w:t>3点测温</w:t>
            </w:r>
          </w:p>
        </w:tc>
        <w:tc>
          <w:tcPr>
            <w:tcW w:w="312" w:type="pct"/>
            <w:tcBorders>
              <w:top w:val="nil"/>
              <w:left w:val="nil"/>
              <w:bottom w:val="single" w:color="auto" w:sz="4" w:space="0"/>
              <w:right w:val="single" w:color="auto" w:sz="4" w:space="0"/>
            </w:tcBorders>
            <w:vAlign w:val="center"/>
          </w:tcPr>
          <w:p w14:paraId="6102C796">
            <w:pPr>
              <w:widowControl/>
              <w:jc w:val="center"/>
              <w:rPr>
                <w:rFonts w:ascii="宋体" w:hAnsi="宋体" w:eastAsia="宋体" w:cs="宋体"/>
                <w:color w:val="auto"/>
                <w:kern w:val="0"/>
                <w:sz w:val="22"/>
              </w:rPr>
            </w:pPr>
            <w:r>
              <w:rPr>
                <w:rFonts w:ascii="宋体" w:hAnsi="宋体" w:eastAsia="宋体" w:cs="宋体"/>
                <w:color w:val="auto"/>
                <w:kern w:val="0"/>
                <w:sz w:val="22"/>
              </w:rPr>
              <w:t>套</w:t>
            </w:r>
          </w:p>
        </w:tc>
        <w:tc>
          <w:tcPr>
            <w:tcW w:w="395" w:type="pct"/>
            <w:tcBorders>
              <w:top w:val="nil"/>
              <w:left w:val="nil"/>
              <w:bottom w:val="single" w:color="auto" w:sz="4" w:space="0"/>
              <w:right w:val="single" w:color="auto" w:sz="4" w:space="0"/>
            </w:tcBorders>
            <w:vAlign w:val="center"/>
          </w:tcPr>
          <w:p w14:paraId="42AFA0FB">
            <w:pPr>
              <w:widowControl/>
              <w:jc w:val="center"/>
              <w:rPr>
                <w:rFonts w:ascii="宋体" w:hAnsi="宋体" w:eastAsia="宋体" w:cs="宋体"/>
                <w:color w:val="auto"/>
                <w:kern w:val="0"/>
                <w:sz w:val="22"/>
              </w:rPr>
            </w:pPr>
            <w:r>
              <w:rPr>
                <w:rFonts w:ascii="宋体" w:hAnsi="宋体" w:eastAsia="宋体" w:cs="宋体"/>
                <w:color w:val="auto"/>
                <w:kern w:val="0"/>
                <w:sz w:val="22"/>
              </w:rPr>
              <w:t>41</w:t>
            </w:r>
          </w:p>
        </w:tc>
        <w:tc>
          <w:tcPr>
            <w:tcW w:w="973" w:type="pct"/>
            <w:tcBorders>
              <w:top w:val="nil"/>
              <w:left w:val="nil"/>
              <w:bottom w:val="single" w:color="auto" w:sz="4" w:space="0"/>
              <w:right w:val="single" w:color="auto" w:sz="4" w:space="0"/>
            </w:tcBorders>
            <w:vAlign w:val="center"/>
          </w:tcPr>
          <w:p w14:paraId="66BF8EB4">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6567E2E0">
        <w:tblPrEx>
          <w:tblCellMar>
            <w:top w:w="0" w:type="dxa"/>
            <w:left w:w="108" w:type="dxa"/>
            <w:bottom w:w="0" w:type="dxa"/>
            <w:right w:w="108" w:type="dxa"/>
          </w:tblCellMar>
        </w:tblPrEx>
        <w:trPr>
          <w:trHeight w:val="396" w:hRule="atLeast"/>
        </w:trPr>
        <w:tc>
          <w:tcPr>
            <w:tcW w:w="331" w:type="pct"/>
            <w:vMerge w:val="continue"/>
            <w:tcBorders>
              <w:top w:val="nil"/>
              <w:left w:val="single" w:color="auto" w:sz="4" w:space="0"/>
              <w:bottom w:val="single" w:color="000000" w:sz="4" w:space="0"/>
              <w:right w:val="single" w:color="auto" w:sz="4" w:space="0"/>
            </w:tcBorders>
            <w:vAlign w:val="center"/>
          </w:tcPr>
          <w:p w14:paraId="6FB3A4B8">
            <w:pPr>
              <w:widowControl/>
              <w:jc w:val="left"/>
              <w:rPr>
                <w:rFonts w:ascii="宋体" w:hAnsi="宋体" w:eastAsia="宋体" w:cs="宋体"/>
                <w:color w:val="auto"/>
                <w:kern w:val="0"/>
                <w:sz w:val="22"/>
              </w:rPr>
            </w:pPr>
          </w:p>
        </w:tc>
        <w:tc>
          <w:tcPr>
            <w:tcW w:w="1343" w:type="pct"/>
            <w:vMerge w:val="continue"/>
            <w:tcBorders>
              <w:top w:val="nil"/>
              <w:left w:val="single" w:color="auto" w:sz="4" w:space="0"/>
              <w:bottom w:val="single" w:color="000000" w:sz="4" w:space="0"/>
              <w:right w:val="single" w:color="auto" w:sz="4" w:space="0"/>
            </w:tcBorders>
            <w:vAlign w:val="center"/>
          </w:tcPr>
          <w:p w14:paraId="59C31836">
            <w:pPr>
              <w:widowControl/>
              <w:jc w:val="left"/>
              <w:rPr>
                <w:rFonts w:ascii="宋体" w:hAnsi="宋体" w:eastAsia="宋体" w:cs="宋体"/>
                <w:color w:val="auto"/>
                <w:kern w:val="0"/>
                <w:sz w:val="24"/>
                <w:szCs w:val="24"/>
              </w:rPr>
            </w:pPr>
          </w:p>
        </w:tc>
        <w:tc>
          <w:tcPr>
            <w:tcW w:w="1646" w:type="pct"/>
            <w:tcBorders>
              <w:top w:val="nil"/>
              <w:left w:val="nil"/>
              <w:bottom w:val="single" w:color="auto" w:sz="4" w:space="0"/>
              <w:right w:val="single" w:color="auto" w:sz="4" w:space="0"/>
            </w:tcBorders>
            <w:vAlign w:val="center"/>
          </w:tcPr>
          <w:p w14:paraId="2C84A2B7">
            <w:pPr>
              <w:widowControl/>
              <w:jc w:val="center"/>
              <w:rPr>
                <w:rFonts w:ascii="宋体" w:hAnsi="宋体" w:eastAsia="宋体" w:cs="宋体"/>
                <w:color w:val="auto"/>
                <w:kern w:val="0"/>
                <w:sz w:val="22"/>
              </w:rPr>
            </w:pPr>
            <w:r>
              <w:rPr>
                <w:rFonts w:ascii="宋体" w:hAnsi="宋体" w:eastAsia="宋体" w:cs="宋体"/>
                <w:color w:val="auto"/>
                <w:kern w:val="0"/>
                <w:sz w:val="22"/>
              </w:rPr>
              <w:t>6点测温</w:t>
            </w:r>
          </w:p>
        </w:tc>
        <w:tc>
          <w:tcPr>
            <w:tcW w:w="312" w:type="pct"/>
            <w:tcBorders>
              <w:top w:val="nil"/>
              <w:left w:val="nil"/>
              <w:bottom w:val="single" w:color="auto" w:sz="4" w:space="0"/>
              <w:right w:val="single" w:color="auto" w:sz="4" w:space="0"/>
            </w:tcBorders>
            <w:vAlign w:val="center"/>
          </w:tcPr>
          <w:p w14:paraId="77630AD0">
            <w:pPr>
              <w:widowControl/>
              <w:jc w:val="center"/>
              <w:rPr>
                <w:rFonts w:ascii="宋体" w:hAnsi="宋体" w:eastAsia="宋体" w:cs="宋体"/>
                <w:color w:val="auto"/>
                <w:kern w:val="0"/>
                <w:sz w:val="22"/>
              </w:rPr>
            </w:pPr>
            <w:r>
              <w:rPr>
                <w:rFonts w:ascii="宋体" w:hAnsi="宋体" w:eastAsia="宋体" w:cs="宋体"/>
                <w:color w:val="auto"/>
                <w:kern w:val="0"/>
                <w:sz w:val="22"/>
              </w:rPr>
              <w:t>套</w:t>
            </w:r>
          </w:p>
        </w:tc>
        <w:tc>
          <w:tcPr>
            <w:tcW w:w="395" w:type="pct"/>
            <w:tcBorders>
              <w:top w:val="nil"/>
              <w:left w:val="nil"/>
              <w:bottom w:val="single" w:color="auto" w:sz="4" w:space="0"/>
              <w:right w:val="single" w:color="auto" w:sz="4" w:space="0"/>
            </w:tcBorders>
            <w:vAlign w:val="center"/>
          </w:tcPr>
          <w:p w14:paraId="2DA2C094">
            <w:pPr>
              <w:widowControl/>
              <w:jc w:val="center"/>
              <w:rPr>
                <w:rFonts w:ascii="宋体" w:hAnsi="宋体" w:eastAsia="宋体" w:cs="宋体"/>
                <w:color w:val="auto"/>
                <w:kern w:val="0"/>
                <w:sz w:val="22"/>
              </w:rPr>
            </w:pPr>
            <w:r>
              <w:rPr>
                <w:rFonts w:ascii="宋体" w:hAnsi="宋体" w:eastAsia="宋体" w:cs="宋体"/>
                <w:color w:val="auto"/>
                <w:kern w:val="0"/>
                <w:sz w:val="22"/>
              </w:rPr>
              <w:t>4</w:t>
            </w:r>
          </w:p>
        </w:tc>
        <w:tc>
          <w:tcPr>
            <w:tcW w:w="973" w:type="pct"/>
            <w:tcBorders>
              <w:top w:val="nil"/>
              <w:left w:val="nil"/>
              <w:bottom w:val="single" w:color="auto" w:sz="4" w:space="0"/>
              <w:right w:val="single" w:color="auto" w:sz="4" w:space="0"/>
            </w:tcBorders>
            <w:vAlign w:val="center"/>
          </w:tcPr>
          <w:p w14:paraId="57C2C0B6">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60757F81">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5D77A6A1">
            <w:pPr>
              <w:widowControl/>
              <w:jc w:val="center"/>
              <w:rPr>
                <w:rFonts w:ascii="宋体" w:hAnsi="宋体" w:eastAsia="宋体" w:cs="宋体"/>
                <w:color w:val="auto"/>
                <w:kern w:val="0"/>
                <w:sz w:val="22"/>
              </w:rPr>
            </w:pPr>
            <w:r>
              <w:rPr>
                <w:rFonts w:ascii="宋体" w:hAnsi="宋体" w:eastAsia="宋体" w:cs="宋体"/>
                <w:color w:val="auto"/>
                <w:kern w:val="0"/>
                <w:sz w:val="22"/>
              </w:rPr>
              <w:t>(4)</w:t>
            </w:r>
          </w:p>
        </w:tc>
        <w:tc>
          <w:tcPr>
            <w:tcW w:w="1343" w:type="pct"/>
            <w:tcBorders>
              <w:top w:val="nil"/>
              <w:left w:val="nil"/>
              <w:bottom w:val="single" w:color="auto" w:sz="4" w:space="0"/>
              <w:right w:val="single" w:color="auto" w:sz="4" w:space="0"/>
            </w:tcBorders>
            <w:vAlign w:val="center"/>
          </w:tcPr>
          <w:p w14:paraId="524066F9">
            <w:pPr>
              <w:widowControl/>
              <w:jc w:val="center"/>
              <w:rPr>
                <w:rFonts w:ascii="宋体" w:hAnsi="宋体" w:eastAsia="宋体" w:cs="宋体"/>
                <w:color w:val="auto"/>
                <w:kern w:val="0"/>
                <w:sz w:val="24"/>
                <w:szCs w:val="24"/>
              </w:rPr>
            </w:pPr>
            <w:r>
              <w:rPr>
                <w:rFonts w:ascii="宋体" w:hAnsi="宋体" w:eastAsia="宋体" w:cs="宋体"/>
                <w:color w:val="auto"/>
                <w:kern w:val="0"/>
                <w:sz w:val="24"/>
                <w:szCs w:val="24"/>
              </w:rPr>
              <w:t>环境温湿度传感器</w:t>
            </w:r>
          </w:p>
        </w:tc>
        <w:tc>
          <w:tcPr>
            <w:tcW w:w="1646" w:type="pct"/>
            <w:tcBorders>
              <w:top w:val="nil"/>
              <w:left w:val="nil"/>
              <w:bottom w:val="single" w:color="auto" w:sz="4" w:space="0"/>
              <w:right w:val="single" w:color="auto" w:sz="4" w:space="0"/>
            </w:tcBorders>
            <w:vAlign w:val="center"/>
          </w:tcPr>
          <w:p w14:paraId="0BBB3B4C">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vAlign w:val="center"/>
          </w:tcPr>
          <w:p w14:paraId="28DE881C">
            <w:pPr>
              <w:widowControl/>
              <w:jc w:val="center"/>
              <w:rPr>
                <w:rFonts w:ascii="宋体" w:hAnsi="宋体" w:eastAsia="宋体" w:cs="宋体"/>
                <w:color w:val="auto"/>
                <w:kern w:val="0"/>
                <w:sz w:val="22"/>
              </w:rPr>
            </w:pPr>
            <w:r>
              <w:rPr>
                <w:rFonts w:ascii="宋体" w:hAnsi="宋体" w:eastAsia="宋体" w:cs="宋体"/>
                <w:color w:val="auto"/>
                <w:kern w:val="0"/>
                <w:sz w:val="22"/>
              </w:rPr>
              <w:t>个</w:t>
            </w:r>
          </w:p>
        </w:tc>
        <w:tc>
          <w:tcPr>
            <w:tcW w:w="395" w:type="pct"/>
            <w:tcBorders>
              <w:top w:val="nil"/>
              <w:left w:val="nil"/>
              <w:bottom w:val="single" w:color="auto" w:sz="4" w:space="0"/>
              <w:right w:val="single" w:color="auto" w:sz="4" w:space="0"/>
            </w:tcBorders>
            <w:vAlign w:val="center"/>
          </w:tcPr>
          <w:p w14:paraId="7C18682B">
            <w:pPr>
              <w:widowControl/>
              <w:jc w:val="center"/>
              <w:rPr>
                <w:rFonts w:ascii="宋体" w:hAnsi="宋体" w:eastAsia="宋体" w:cs="宋体"/>
                <w:color w:val="auto"/>
                <w:kern w:val="0"/>
                <w:sz w:val="22"/>
              </w:rPr>
            </w:pPr>
            <w:r>
              <w:rPr>
                <w:rFonts w:ascii="宋体" w:hAnsi="宋体" w:eastAsia="宋体" w:cs="宋体"/>
                <w:color w:val="auto"/>
                <w:kern w:val="0"/>
                <w:sz w:val="22"/>
              </w:rPr>
              <w:t>2</w:t>
            </w:r>
          </w:p>
        </w:tc>
        <w:tc>
          <w:tcPr>
            <w:tcW w:w="973" w:type="pct"/>
            <w:tcBorders>
              <w:top w:val="nil"/>
              <w:left w:val="nil"/>
              <w:bottom w:val="single" w:color="auto" w:sz="4" w:space="0"/>
              <w:right w:val="single" w:color="auto" w:sz="4" w:space="0"/>
            </w:tcBorders>
            <w:vAlign w:val="center"/>
          </w:tcPr>
          <w:p w14:paraId="4F613D32">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52A98F06">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16A957A0">
            <w:pPr>
              <w:widowControl/>
              <w:jc w:val="center"/>
              <w:rPr>
                <w:rFonts w:ascii="宋体" w:hAnsi="宋体" w:eastAsia="宋体" w:cs="宋体"/>
                <w:color w:val="auto"/>
                <w:kern w:val="0"/>
                <w:sz w:val="22"/>
              </w:rPr>
            </w:pPr>
            <w:r>
              <w:rPr>
                <w:rFonts w:ascii="宋体" w:hAnsi="宋体" w:eastAsia="宋体" w:cs="宋体"/>
                <w:color w:val="auto"/>
                <w:kern w:val="0"/>
                <w:sz w:val="22"/>
              </w:rPr>
              <w:t>(5)</w:t>
            </w:r>
          </w:p>
        </w:tc>
        <w:tc>
          <w:tcPr>
            <w:tcW w:w="1343" w:type="pct"/>
            <w:tcBorders>
              <w:top w:val="nil"/>
              <w:left w:val="nil"/>
              <w:bottom w:val="single" w:color="auto" w:sz="4" w:space="0"/>
              <w:right w:val="single" w:color="auto" w:sz="4" w:space="0"/>
            </w:tcBorders>
            <w:shd w:val="clear" w:color="000000" w:fill="FFFFFF"/>
            <w:vAlign w:val="center"/>
          </w:tcPr>
          <w:p w14:paraId="79934DD8">
            <w:pPr>
              <w:widowControl/>
              <w:jc w:val="center"/>
              <w:rPr>
                <w:rFonts w:ascii="宋体" w:hAnsi="宋体" w:eastAsia="宋体" w:cs="宋体"/>
                <w:color w:val="auto"/>
                <w:kern w:val="0"/>
                <w:sz w:val="22"/>
              </w:rPr>
            </w:pPr>
            <w:r>
              <w:rPr>
                <w:rFonts w:ascii="宋体" w:hAnsi="宋体" w:eastAsia="宋体" w:cs="宋体"/>
                <w:color w:val="auto"/>
                <w:kern w:val="0"/>
                <w:sz w:val="22"/>
              </w:rPr>
              <w:t>施工调试费用</w:t>
            </w:r>
          </w:p>
        </w:tc>
        <w:tc>
          <w:tcPr>
            <w:tcW w:w="1646" w:type="pct"/>
            <w:tcBorders>
              <w:top w:val="nil"/>
              <w:left w:val="nil"/>
              <w:bottom w:val="single" w:color="auto" w:sz="4" w:space="0"/>
              <w:right w:val="single" w:color="auto" w:sz="4" w:space="0"/>
            </w:tcBorders>
            <w:vAlign w:val="center"/>
          </w:tcPr>
          <w:p w14:paraId="231E4491">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shd w:val="clear" w:color="000000" w:fill="FFFFFF"/>
            <w:vAlign w:val="center"/>
          </w:tcPr>
          <w:p w14:paraId="5B393422">
            <w:pPr>
              <w:widowControl/>
              <w:jc w:val="center"/>
              <w:rPr>
                <w:rFonts w:ascii="宋体" w:hAnsi="宋体" w:eastAsia="宋体" w:cs="宋体"/>
                <w:color w:val="auto"/>
                <w:kern w:val="0"/>
                <w:sz w:val="22"/>
              </w:rPr>
            </w:pPr>
            <w:r>
              <w:rPr>
                <w:rFonts w:ascii="宋体" w:hAnsi="宋体" w:eastAsia="宋体" w:cs="宋体"/>
                <w:color w:val="auto"/>
                <w:kern w:val="0"/>
                <w:sz w:val="22"/>
              </w:rPr>
              <w:t>项</w:t>
            </w:r>
          </w:p>
        </w:tc>
        <w:tc>
          <w:tcPr>
            <w:tcW w:w="395" w:type="pct"/>
            <w:tcBorders>
              <w:top w:val="nil"/>
              <w:left w:val="nil"/>
              <w:bottom w:val="single" w:color="auto" w:sz="4" w:space="0"/>
              <w:right w:val="single" w:color="auto" w:sz="4" w:space="0"/>
            </w:tcBorders>
            <w:shd w:val="clear" w:color="000000" w:fill="FFFFFF"/>
            <w:vAlign w:val="center"/>
          </w:tcPr>
          <w:p w14:paraId="3C91E4CD">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973" w:type="pct"/>
            <w:tcBorders>
              <w:top w:val="nil"/>
              <w:left w:val="nil"/>
              <w:bottom w:val="single" w:color="auto" w:sz="4" w:space="0"/>
              <w:right w:val="single" w:color="auto" w:sz="4" w:space="0"/>
            </w:tcBorders>
            <w:vAlign w:val="center"/>
          </w:tcPr>
          <w:p w14:paraId="44036E41">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09480F4D">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32FF33E0">
            <w:pPr>
              <w:widowControl/>
              <w:jc w:val="center"/>
              <w:rPr>
                <w:rFonts w:ascii="宋体" w:hAnsi="宋体" w:eastAsia="宋体" w:cs="宋体"/>
                <w:b/>
                <w:bCs/>
                <w:color w:val="auto"/>
                <w:kern w:val="0"/>
                <w:sz w:val="22"/>
              </w:rPr>
            </w:pPr>
            <w:r>
              <w:rPr>
                <w:rFonts w:ascii="宋体" w:hAnsi="宋体" w:eastAsia="宋体" w:cs="宋体"/>
                <w:b/>
                <w:bCs/>
                <w:color w:val="auto"/>
                <w:kern w:val="0"/>
                <w:sz w:val="22"/>
              </w:rPr>
              <w:t>5</w:t>
            </w:r>
          </w:p>
        </w:tc>
        <w:tc>
          <w:tcPr>
            <w:tcW w:w="3696" w:type="pct"/>
            <w:gridSpan w:val="4"/>
            <w:tcBorders>
              <w:top w:val="single" w:color="auto" w:sz="4" w:space="0"/>
              <w:left w:val="nil"/>
              <w:bottom w:val="single" w:color="auto" w:sz="4" w:space="0"/>
              <w:right w:val="single" w:color="auto" w:sz="4" w:space="0"/>
            </w:tcBorders>
            <w:vAlign w:val="center"/>
          </w:tcPr>
          <w:p w14:paraId="0375E03C">
            <w:pPr>
              <w:widowControl/>
              <w:jc w:val="center"/>
              <w:rPr>
                <w:rFonts w:ascii="宋体" w:hAnsi="宋体" w:eastAsia="宋体" w:cs="宋体"/>
                <w:b/>
                <w:bCs/>
                <w:color w:val="auto"/>
                <w:kern w:val="0"/>
                <w:sz w:val="22"/>
              </w:rPr>
            </w:pPr>
            <w:r>
              <w:rPr>
                <w:rFonts w:ascii="宋体" w:hAnsi="宋体" w:eastAsia="宋体" w:cs="宋体"/>
                <w:b/>
                <w:bCs/>
                <w:color w:val="auto"/>
                <w:kern w:val="0"/>
                <w:sz w:val="22"/>
              </w:rPr>
              <w:t>火灾自动报警系统</w:t>
            </w:r>
          </w:p>
        </w:tc>
        <w:tc>
          <w:tcPr>
            <w:tcW w:w="973" w:type="pct"/>
            <w:tcBorders>
              <w:top w:val="nil"/>
              <w:left w:val="nil"/>
              <w:bottom w:val="single" w:color="auto" w:sz="4" w:space="0"/>
              <w:right w:val="single" w:color="auto" w:sz="4" w:space="0"/>
            </w:tcBorders>
            <w:vAlign w:val="bottom"/>
          </w:tcPr>
          <w:p w14:paraId="5C2818B0">
            <w:pPr>
              <w:widowControl/>
              <w:jc w:val="left"/>
              <w:rPr>
                <w:rFonts w:ascii="等线" w:hAnsi="等线" w:eastAsia="等线" w:cs="宋体"/>
                <w:color w:val="auto"/>
                <w:kern w:val="0"/>
                <w:sz w:val="22"/>
              </w:rPr>
            </w:pPr>
            <w:r>
              <w:rPr>
                <w:rFonts w:ascii="等线" w:hAnsi="等线" w:eastAsia="等线" w:cs="宋体"/>
                <w:color w:val="auto"/>
                <w:kern w:val="0"/>
                <w:sz w:val="22"/>
              </w:rPr>
              <w:t>　</w:t>
            </w:r>
          </w:p>
        </w:tc>
      </w:tr>
      <w:tr w14:paraId="19138F6F">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2C7FBE03">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1343" w:type="pct"/>
            <w:tcBorders>
              <w:top w:val="nil"/>
              <w:left w:val="nil"/>
              <w:bottom w:val="single" w:color="auto" w:sz="4" w:space="0"/>
              <w:right w:val="single" w:color="auto" w:sz="4" w:space="0"/>
            </w:tcBorders>
            <w:vAlign w:val="center"/>
          </w:tcPr>
          <w:p w14:paraId="3BA9460B">
            <w:pPr>
              <w:widowControl/>
              <w:jc w:val="center"/>
              <w:rPr>
                <w:rFonts w:ascii="宋体" w:hAnsi="宋体" w:eastAsia="宋体" w:cs="宋体"/>
                <w:color w:val="auto"/>
                <w:kern w:val="0"/>
                <w:sz w:val="24"/>
                <w:szCs w:val="24"/>
              </w:rPr>
            </w:pPr>
            <w:r>
              <w:rPr>
                <w:rFonts w:ascii="宋体" w:hAnsi="宋体" w:eastAsia="宋体" w:cs="宋体"/>
                <w:color w:val="auto"/>
                <w:kern w:val="0"/>
                <w:sz w:val="24"/>
                <w:szCs w:val="24"/>
              </w:rPr>
              <w:t>烟感探测器</w:t>
            </w:r>
          </w:p>
        </w:tc>
        <w:tc>
          <w:tcPr>
            <w:tcW w:w="1646" w:type="pct"/>
            <w:tcBorders>
              <w:top w:val="nil"/>
              <w:left w:val="nil"/>
              <w:bottom w:val="single" w:color="auto" w:sz="4" w:space="0"/>
              <w:right w:val="single" w:color="auto" w:sz="4" w:space="0"/>
            </w:tcBorders>
            <w:vAlign w:val="center"/>
          </w:tcPr>
          <w:p w14:paraId="67F0DC60">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vAlign w:val="center"/>
          </w:tcPr>
          <w:p w14:paraId="1E433A8D">
            <w:pPr>
              <w:widowControl/>
              <w:jc w:val="center"/>
              <w:rPr>
                <w:rFonts w:ascii="宋体" w:hAnsi="宋体" w:eastAsia="宋体" w:cs="宋体"/>
                <w:color w:val="auto"/>
                <w:kern w:val="0"/>
                <w:sz w:val="22"/>
              </w:rPr>
            </w:pPr>
            <w:r>
              <w:rPr>
                <w:rFonts w:ascii="宋体" w:hAnsi="宋体" w:eastAsia="宋体" w:cs="宋体"/>
                <w:color w:val="auto"/>
                <w:kern w:val="0"/>
                <w:sz w:val="22"/>
              </w:rPr>
              <w:t>个</w:t>
            </w:r>
          </w:p>
        </w:tc>
        <w:tc>
          <w:tcPr>
            <w:tcW w:w="395" w:type="pct"/>
            <w:tcBorders>
              <w:top w:val="nil"/>
              <w:left w:val="nil"/>
              <w:bottom w:val="single" w:color="auto" w:sz="4" w:space="0"/>
              <w:right w:val="single" w:color="auto" w:sz="4" w:space="0"/>
            </w:tcBorders>
            <w:vAlign w:val="center"/>
          </w:tcPr>
          <w:p w14:paraId="1429E760">
            <w:pPr>
              <w:widowControl/>
              <w:jc w:val="center"/>
              <w:rPr>
                <w:rFonts w:ascii="宋体" w:hAnsi="宋体" w:eastAsia="宋体" w:cs="宋体"/>
                <w:color w:val="auto"/>
                <w:kern w:val="0"/>
                <w:sz w:val="22"/>
              </w:rPr>
            </w:pPr>
            <w:r>
              <w:rPr>
                <w:rFonts w:ascii="宋体" w:hAnsi="宋体" w:eastAsia="宋体" w:cs="宋体"/>
                <w:color w:val="auto"/>
                <w:kern w:val="0"/>
                <w:sz w:val="22"/>
              </w:rPr>
              <w:t>2</w:t>
            </w:r>
          </w:p>
        </w:tc>
        <w:tc>
          <w:tcPr>
            <w:tcW w:w="973" w:type="pct"/>
            <w:tcBorders>
              <w:top w:val="nil"/>
              <w:left w:val="nil"/>
              <w:bottom w:val="single" w:color="auto" w:sz="4" w:space="0"/>
              <w:right w:val="single" w:color="auto" w:sz="4" w:space="0"/>
            </w:tcBorders>
            <w:vAlign w:val="center"/>
          </w:tcPr>
          <w:p w14:paraId="269E118A">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7539895B">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1E7266EC">
            <w:pPr>
              <w:widowControl/>
              <w:jc w:val="center"/>
              <w:rPr>
                <w:rFonts w:ascii="宋体" w:hAnsi="宋体" w:eastAsia="宋体" w:cs="宋体"/>
                <w:color w:val="auto"/>
                <w:kern w:val="0"/>
                <w:sz w:val="22"/>
              </w:rPr>
            </w:pPr>
            <w:r>
              <w:rPr>
                <w:rFonts w:ascii="宋体" w:hAnsi="宋体" w:eastAsia="宋体" w:cs="宋体"/>
                <w:color w:val="auto"/>
                <w:kern w:val="0"/>
                <w:sz w:val="22"/>
              </w:rPr>
              <w:t>(2)</w:t>
            </w:r>
          </w:p>
        </w:tc>
        <w:tc>
          <w:tcPr>
            <w:tcW w:w="1343" w:type="pct"/>
            <w:tcBorders>
              <w:top w:val="nil"/>
              <w:left w:val="nil"/>
              <w:bottom w:val="single" w:color="auto" w:sz="4" w:space="0"/>
              <w:right w:val="single" w:color="auto" w:sz="4" w:space="0"/>
            </w:tcBorders>
            <w:vAlign w:val="center"/>
          </w:tcPr>
          <w:p w14:paraId="25E33E28">
            <w:pPr>
              <w:widowControl/>
              <w:jc w:val="center"/>
              <w:rPr>
                <w:rFonts w:ascii="宋体" w:hAnsi="宋体" w:eastAsia="宋体" w:cs="宋体"/>
                <w:color w:val="auto"/>
                <w:kern w:val="0"/>
                <w:sz w:val="24"/>
                <w:szCs w:val="24"/>
              </w:rPr>
            </w:pPr>
            <w:r>
              <w:rPr>
                <w:rFonts w:ascii="宋体" w:hAnsi="宋体" w:eastAsia="宋体" w:cs="宋体"/>
                <w:color w:val="auto"/>
                <w:kern w:val="0"/>
                <w:sz w:val="24"/>
                <w:szCs w:val="24"/>
              </w:rPr>
              <w:t>温感探测器</w:t>
            </w:r>
          </w:p>
        </w:tc>
        <w:tc>
          <w:tcPr>
            <w:tcW w:w="1646" w:type="pct"/>
            <w:tcBorders>
              <w:top w:val="nil"/>
              <w:left w:val="nil"/>
              <w:bottom w:val="single" w:color="auto" w:sz="4" w:space="0"/>
              <w:right w:val="single" w:color="auto" w:sz="4" w:space="0"/>
            </w:tcBorders>
            <w:vAlign w:val="center"/>
          </w:tcPr>
          <w:p w14:paraId="19D456E1">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vAlign w:val="center"/>
          </w:tcPr>
          <w:p w14:paraId="0215C11F">
            <w:pPr>
              <w:widowControl/>
              <w:jc w:val="center"/>
              <w:rPr>
                <w:rFonts w:ascii="宋体" w:hAnsi="宋体" w:eastAsia="宋体" w:cs="宋体"/>
                <w:color w:val="auto"/>
                <w:kern w:val="0"/>
                <w:sz w:val="22"/>
              </w:rPr>
            </w:pPr>
            <w:r>
              <w:rPr>
                <w:rFonts w:ascii="宋体" w:hAnsi="宋体" w:eastAsia="宋体" w:cs="宋体"/>
                <w:color w:val="auto"/>
                <w:kern w:val="0"/>
                <w:sz w:val="22"/>
              </w:rPr>
              <w:t>个</w:t>
            </w:r>
          </w:p>
        </w:tc>
        <w:tc>
          <w:tcPr>
            <w:tcW w:w="395" w:type="pct"/>
            <w:tcBorders>
              <w:top w:val="nil"/>
              <w:left w:val="nil"/>
              <w:bottom w:val="single" w:color="auto" w:sz="4" w:space="0"/>
              <w:right w:val="single" w:color="auto" w:sz="4" w:space="0"/>
            </w:tcBorders>
            <w:vAlign w:val="center"/>
          </w:tcPr>
          <w:p w14:paraId="179E6B66">
            <w:pPr>
              <w:widowControl/>
              <w:jc w:val="center"/>
              <w:rPr>
                <w:rFonts w:ascii="宋体" w:hAnsi="宋体" w:eastAsia="宋体" w:cs="宋体"/>
                <w:color w:val="auto"/>
                <w:kern w:val="0"/>
                <w:sz w:val="22"/>
              </w:rPr>
            </w:pPr>
            <w:r>
              <w:rPr>
                <w:rFonts w:ascii="宋体" w:hAnsi="宋体" w:eastAsia="宋体" w:cs="宋体"/>
                <w:color w:val="auto"/>
                <w:kern w:val="0"/>
                <w:sz w:val="22"/>
              </w:rPr>
              <w:t>2</w:t>
            </w:r>
          </w:p>
        </w:tc>
        <w:tc>
          <w:tcPr>
            <w:tcW w:w="973" w:type="pct"/>
            <w:tcBorders>
              <w:top w:val="nil"/>
              <w:left w:val="nil"/>
              <w:bottom w:val="single" w:color="auto" w:sz="4" w:space="0"/>
              <w:right w:val="single" w:color="auto" w:sz="4" w:space="0"/>
            </w:tcBorders>
            <w:vAlign w:val="center"/>
          </w:tcPr>
          <w:p w14:paraId="338AF72F">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35FB72A8">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3B576C9B">
            <w:pPr>
              <w:widowControl/>
              <w:jc w:val="center"/>
              <w:rPr>
                <w:rFonts w:ascii="宋体" w:hAnsi="宋体" w:eastAsia="宋体" w:cs="宋体"/>
                <w:color w:val="auto"/>
                <w:kern w:val="0"/>
                <w:sz w:val="22"/>
              </w:rPr>
            </w:pPr>
            <w:r>
              <w:rPr>
                <w:rFonts w:ascii="宋体" w:hAnsi="宋体" w:eastAsia="宋体" w:cs="宋体"/>
                <w:color w:val="auto"/>
                <w:kern w:val="0"/>
                <w:sz w:val="22"/>
              </w:rPr>
              <w:t>(3)</w:t>
            </w:r>
          </w:p>
        </w:tc>
        <w:tc>
          <w:tcPr>
            <w:tcW w:w="1343" w:type="pct"/>
            <w:tcBorders>
              <w:top w:val="nil"/>
              <w:left w:val="nil"/>
              <w:bottom w:val="single" w:color="auto" w:sz="4" w:space="0"/>
              <w:right w:val="single" w:color="auto" w:sz="4" w:space="0"/>
            </w:tcBorders>
            <w:vAlign w:val="center"/>
          </w:tcPr>
          <w:p w14:paraId="23EE5C96">
            <w:pPr>
              <w:widowControl/>
              <w:jc w:val="center"/>
              <w:rPr>
                <w:rFonts w:ascii="宋体" w:hAnsi="宋体" w:eastAsia="宋体" w:cs="宋体"/>
                <w:color w:val="auto"/>
                <w:kern w:val="0"/>
                <w:sz w:val="24"/>
                <w:szCs w:val="24"/>
              </w:rPr>
            </w:pPr>
            <w:r>
              <w:rPr>
                <w:rFonts w:ascii="宋体" w:hAnsi="宋体" w:eastAsia="宋体" w:cs="宋体"/>
                <w:color w:val="auto"/>
                <w:kern w:val="0"/>
                <w:sz w:val="24"/>
                <w:szCs w:val="24"/>
              </w:rPr>
              <w:t>手动报警按钮</w:t>
            </w:r>
          </w:p>
        </w:tc>
        <w:tc>
          <w:tcPr>
            <w:tcW w:w="1646" w:type="pct"/>
            <w:tcBorders>
              <w:top w:val="nil"/>
              <w:left w:val="nil"/>
              <w:bottom w:val="single" w:color="auto" w:sz="4" w:space="0"/>
              <w:right w:val="single" w:color="auto" w:sz="4" w:space="0"/>
            </w:tcBorders>
            <w:vAlign w:val="center"/>
          </w:tcPr>
          <w:p w14:paraId="0A62BE03">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vAlign w:val="center"/>
          </w:tcPr>
          <w:p w14:paraId="09203290">
            <w:pPr>
              <w:widowControl/>
              <w:jc w:val="center"/>
              <w:rPr>
                <w:rFonts w:ascii="宋体" w:hAnsi="宋体" w:eastAsia="宋体" w:cs="宋体"/>
                <w:color w:val="auto"/>
                <w:kern w:val="0"/>
                <w:sz w:val="22"/>
              </w:rPr>
            </w:pPr>
            <w:r>
              <w:rPr>
                <w:rFonts w:ascii="宋体" w:hAnsi="宋体" w:eastAsia="宋体" w:cs="宋体"/>
                <w:color w:val="auto"/>
                <w:kern w:val="0"/>
                <w:sz w:val="22"/>
              </w:rPr>
              <w:t>个</w:t>
            </w:r>
          </w:p>
        </w:tc>
        <w:tc>
          <w:tcPr>
            <w:tcW w:w="395" w:type="pct"/>
            <w:tcBorders>
              <w:top w:val="nil"/>
              <w:left w:val="nil"/>
              <w:bottom w:val="single" w:color="auto" w:sz="4" w:space="0"/>
              <w:right w:val="single" w:color="auto" w:sz="4" w:space="0"/>
            </w:tcBorders>
            <w:vAlign w:val="center"/>
          </w:tcPr>
          <w:p w14:paraId="33407E01">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973" w:type="pct"/>
            <w:tcBorders>
              <w:top w:val="nil"/>
              <w:left w:val="nil"/>
              <w:bottom w:val="single" w:color="auto" w:sz="4" w:space="0"/>
              <w:right w:val="single" w:color="auto" w:sz="4" w:space="0"/>
            </w:tcBorders>
            <w:vAlign w:val="center"/>
          </w:tcPr>
          <w:p w14:paraId="4C2EAEF9">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0249E5C0">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0A6A559A">
            <w:pPr>
              <w:widowControl/>
              <w:jc w:val="center"/>
              <w:rPr>
                <w:rFonts w:ascii="宋体" w:hAnsi="宋体" w:eastAsia="宋体" w:cs="宋体"/>
                <w:color w:val="auto"/>
                <w:kern w:val="0"/>
                <w:sz w:val="22"/>
              </w:rPr>
            </w:pPr>
            <w:r>
              <w:rPr>
                <w:rFonts w:ascii="宋体" w:hAnsi="宋体" w:eastAsia="宋体" w:cs="宋体"/>
                <w:color w:val="auto"/>
                <w:kern w:val="0"/>
                <w:sz w:val="22"/>
              </w:rPr>
              <w:t>(4)</w:t>
            </w:r>
          </w:p>
        </w:tc>
        <w:tc>
          <w:tcPr>
            <w:tcW w:w="1343" w:type="pct"/>
            <w:tcBorders>
              <w:top w:val="nil"/>
              <w:left w:val="nil"/>
              <w:bottom w:val="single" w:color="auto" w:sz="4" w:space="0"/>
              <w:right w:val="single" w:color="auto" w:sz="4" w:space="0"/>
            </w:tcBorders>
            <w:vAlign w:val="center"/>
          </w:tcPr>
          <w:p w14:paraId="2C629BC2">
            <w:pPr>
              <w:widowControl/>
              <w:jc w:val="center"/>
              <w:rPr>
                <w:rFonts w:ascii="宋体" w:hAnsi="宋体" w:eastAsia="宋体" w:cs="宋体"/>
                <w:color w:val="auto"/>
                <w:kern w:val="0"/>
                <w:sz w:val="24"/>
                <w:szCs w:val="24"/>
              </w:rPr>
            </w:pPr>
            <w:r>
              <w:rPr>
                <w:rFonts w:ascii="宋体" w:hAnsi="宋体" w:eastAsia="宋体" w:cs="宋体"/>
                <w:color w:val="auto"/>
                <w:kern w:val="0"/>
                <w:sz w:val="24"/>
                <w:szCs w:val="24"/>
              </w:rPr>
              <w:t>声光报警器</w:t>
            </w:r>
          </w:p>
        </w:tc>
        <w:tc>
          <w:tcPr>
            <w:tcW w:w="1646" w:type="pct"/>
            <w:tcBorders>
              <w:top w:val="nil"/>
              <w:left w:val="nil"/>
              <w:bottom w:val="single" w:color="auto" w:sz="4" w:space="0"/>
              <w:right w:val="single" w:color="auto" w:sz="4" w:space="0"/>
            </w:tcBorders>
            <w:vAlign w:val="center"/>
          </w:tcPr>
          <w:p w14:paraId="5DFE3EC3">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vAlign w:val="center"/>
          </w:tcPr>
          <w:p w14:paraId="7DBA9E25">
            <w:pPr>
              <w:widowControl/>
              <w:jc w:val="center"/>
              <w:rPr>
                <w:rFonts w:ascii="宋体" w:hAnsi="宋体" w:eastAsia="宋体" w:cs="宋体"/>
                <w:color w:val="auto"/>
                <w:kern w:val="0"/>
                <w:sz w:val="22"/>
              </w:rPr>
            </w:pPr>
            <w:r>
              <w:rPr>
                <w:rFonts w:ascii="宋体" w:hAnsi="宋体" w:eastAsia="宋体" w:cs="宋体"/>
                <w:color w:val="auto"/>
                <w:kern w:val="0"/>
                <w:sz w:val="22"/>
              </w:rPr>
              <w:t>个</w:t>
            </w:r>
          </w:p>
        </w:tc>
        <w:tc>
          <w:tcPr>
            <w:tcW w:w="395" w:type="pct"/>
            <w:tcBorders>
              <w:top w:val="nil"/>
              <w:left w:val="nil"/>
              <w:bottom w:val="single" w:color="auto" w:sz="4" w:space="0"/>
              <w:right w:val="single" w:color="auto" w:sz="4" w:space="0"/>
            </w:tcBorders>
            <w:vAlign w:val="center"/>
          </w:tcPr>
          <w:p w14:paraId="7B51F370">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973" w:type="pct"/>
            <w:tcBorders>
              <w:top w:val="nil"/>
              <w:left w:val="nil"/>
              <w:bottom w:val="single" w:color="auto" w:sz="4" w:space="0"/>
              <w:right w:val="single" w:color="auto" w:sz="4" w:space="0"/>
            </w:tcBorders>
            <w:vAlign w:val="center"/>
          </w:tcPr>
          <w:p w14:paraId="11F51596">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1A5C4EA8">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67FFAA73">
            <w:pPr>
              <w:widowControl/>
              <w:jc w:val="center"/>
              <w:rPr>
                <w:rFonts w:ascii="宋体" w:hAnsi="宋体" w:eastAsia="宋体" w:cs="宋体"/>
                <w:color w:val="auto"/>
                <w:kern w:val="0"/>
                <w:sz w:val="22"/>
              </w:rPr>
            </w:pPr>
            <w:r>
              <w:rPr>
                <w:rFonts w:ascii="宋体" w:hAnsi="宋体" w:eastAsia="宋体" w:cs="宋体"/>
                <w:color w:val="auto"/>
                <w:kern w:val="0"/>
                <w:sz w:val="22"/>
              </w:rPr>
              <w:t>(5)</w:t>
            </w:r>
          </w:p>
        </w:tc>
        <w:tc>
          <w:tcPr>
            <w:tcW w:w="1343" w:type="pct"/>
            <w:tcBorders>
              <w:top w:val="nil"/>
              <w:left w:val="nil"/>
              <w:bottom w:val="single" w:color="auto" w:sz="4" w:space="0"/>
              <w:right w:val="single" w:color="auto" w:sz="4" w:space="0"/>
            </w:tcBorders>
            <w:vAlign w:val="center"/>
          </w:tcPr>
          <w:p w14:paraId="563AE45B">
            <w:pPr>
              <w:widowControl/>
              <w:jc w:val="center"/>
              <w:rPr>
                <w:rFonts w:ascii="宋体" w:hAnsi="宋体" w:eastAsia="宋体" w:cs="宋体"/>
                <w:color w:val="auto"/>
                <w:kern w:val="0"/>
                <w:sz w:val="24"/>
                <w:szCs w:val="24"/>
              </w:rPr>
            </w:pPr>
            <w:r>
              <w:rPr>
                <w:rFonts w:ascii="宋体" w:hAnsi="宋体" w:eastAsia="宋体" w:cs="宋体"/>
                <w:color w:val="auto"/>
                <w:kern w:val="0"/>
                <w:sz w:val="24"/>
                <w:szCs w:val="24"/>
              </w:rPr>
              <w:t>消防报警主机</w:t>
            </w:r>
          </w:p>
        </w:tc>
        <w:tc>
          <w:tcPr>
            <w:tcW w:w="1646" w:type="pct"/>
            <w:tcBorders>
              <w:top w:val="nil"/>
              <w:left w:val="nil"/>
              <w:bottom w:val="single" w:color="auto" w:sz="4" w:space="0"/>
              <w:right w:val="single" w:color="auto" w:sz="4" w:space="0"/>
            </w:tcBorders>
            <w:vAlign w:val="center"/>
          </w:tcPr>
          <w:p w14:paraId="2C575B17">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vAlign w:val="center"/>
          </w:tcPr>
          <w:p w14:paraId="2E4E47A4">
            <w:pPr>
              <w:widowControl/>
              <w:jc w:val="center"/>
              <w:rPr>
                <w:rFonts w:ascii="宋体" w:hAnsi="宋体" w:eastAsia="宋体" w:cs="宋体"/>
                <w:color w:val="auto"/>
                <w:kern w:val="0"/>
                <w:sz w:val="22"/>
              </w:rPr>
            </w:pPr>
            <w:r>
              <w:rPr>
                <w:rFonts w:ascii="宋体" w:hAnsi="宋体" w:eastAsia="宋体" w:cs="宋体"/>
                <w:color w:val="auto"/>
                <w:kern w:val="0"/>
                <w:sz w:val="22"/>
              </w:rPr>
              <w:t>个</w:t>
            </w:r>
          </w:p>
        </w:tc>
        <w:tc>
          <w:tcPr>
            <w:tcW w:w="395" w:type="pct"/>
            <w:tcBorders>
              <w:top w:val="nil"/>
              <w:left w:val="nil"/>
              <w:bottom w:val="single" w:color="auto" w:sz="4" w:space="0"/>
              <w:right w:val="single" w:color="auto" w:sz="4" w:space="0"/>
            </w:tcBorders>
            <w:vAlign w:val="center"/>
          </w:tcPr>
          <w:p w14:paraId="0C1F2098">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973" w:type="pct"/>
            <w:tcBorders>
              <w:top w:val="nil"/>
              <w:left w:val="nil"/>
              <w:bottom w:val="single" w:color="auto" w:sz="4" w:space="0"/>
              <w:right w:val="single" w:color="auto" w:sz="4" w:space="0"/>
            </w:tcBorders>
            <w:vAlign w:val="center"/>
          </w:tcPr>
          <w:p w14:paraId="21321BAC">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27AD69BE">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62424D35">
            <w:pPr>
              <w:widowControl/>
              <w:jc w:val="center"/>
              <w:rPr>
                <w:rFonts w:ascii="宋体" w:hAnsi="宋体" w:eastAsia="宋体" w:cs="宋体"/>
                <w:color w:val="auto"/>
                <w:kern w:val="0"/>
                <w:sz w:val="22"/>
              </w:rPr>
            </w:pPr>
            <w:r>
              <w:rPr>
                <w:rFonts w:ascii="宋体" w:hAnsi="宋体" w:eastAsia="宋体" w:cs="宋体"/>
                <w:color w:val="auto"/>
                <w:kern w:val="0"/>
                <w:sz w:val="22"/>
              </w:rPr>
              <w:t>(6)</w:t>
            </w:r>
          </w:p>
        </w:tc>
        <w:tc>
          <w:tcPr>
            <w:tcW w:w="1343" w:type="pct"/>
            <w:tcBorders>
              <w:top w:val="nil"/>
              <w:left w:val="nil"/>
              <w:bottom w:val="single" w:color="auto" w:sz="4" w:space="0"/>
              <w:right w:val="single" w:color="auto" w:sz="4" w:space="0"/>
            </w:tcBorders>
            <w:shd w:val="clear" w:color="000000" w:fill="FFFFFF"/>
            <w:vAlign w:val="center"/>
          </w:tcPr>
          <w:p w14:paraId="2498E3B7">
            <w:pPr>
              <w:widowControl/>
              <w:jc w:val="center"/>
              <w:rPr>
                <w:rFonts w:ascii="宋体" w:hAnsi="宋体" w:eastAsia="宋体" w:cs="宋体"/>
                <w:color w:val="auto"/>
                <w:kern w:val="0"/>
                <w:sz w:val="22"/>
              </w:rPr>
            </w:pPr>
            <w:r>
              <w:rPr>
                <w:rFonts w:ascii="宋体" w:hAnsi="宋体" w:eastAsia="宋体" w:cs="宋体"/>
                <w:color w:val="auto"/>
                <w:kern w:val="0"/>
                <w:sz w:val="22"/>
              </w:rPr>
              <w:t>施工调试费用</w:t>
            </w:r>
          </w:p>
        </w:tc>
        <w:tc>
          <w:tcPr>
            <w:tcW w:w="1646" w:type="pct"/>
            <w:tcBorders>
              <w:top w:val="nil"/>
              <w:left w:val="nil"/>
              <w:bottom w:val="single" w:color="auto" w:sz="4" w:space="0"/>
              <w:right w:val="single" w:color="auto" w:sz="4" w:space="0"/>
            </w:tcBorders>
            <w:vAlign w:val="center"/>
          </w:tcPr>
          <w:p w14:paraId="1864A7D1">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shd w:val="clear" w:color="000000" w:fill="FFFFFF"/>
            <w:vAlign w:val="center"/>
          </w:tcPr>
          <w:p w14:paraId="6886C993">
            <w:pPr>
              <w:widowControl/>
              <w:jc w:val="center"/>
              <w:rPr>
                <w:rFonts w:ascii="宋体" w:hAnsi="宋体" w:eastAsia="宋体" w:cs="宋体"/>
                <w:color w:val="auto"/>
                <w:kern w:val="0"/>
                <w:sz w:val="22"/>
              </w:rPr>
            </w:pPr>
            <w:r>
              <w:rPr>
                <w:rFonts w:ascii="宋体" w:hAnsi="宋体" w:eastAsia="宋体" w:cs="宋体"/>
                <w:color w:val="auto"/>
                <w:kern w:val="0"/>
                <w:sz w:val="22"/>
              </w:rPr>
              <w:t>项</w:t>
            </w:r>
          </w:p>
        </w:tc>
        <w:tc>
          <w:tcPr>
            <w:tcW w:w="395" w:type="pct"/>
            <w:tcBorders>
              <w:top w:val="nil"/>
              <w:left w:val="nil"/>
              <w:bottom w:val="single" w:color="auto" w:sz="4" w:space="0"/>
              <w:right w:val="single" w:color="auto" w:sz="4" w:space="0"/>
            </w:tcBorders>
            <w:shd w:val="clear" w:color="000000" w:fill="FFFFFF"/>
            <w:vAlign w:val="center"/>
          </w:tcPr>
          <w:p w14:paraId="15F005A4">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973" w:type="pct"/>
            <w:tcBorders>
              <w:top w:val="nil"/>
              <w:left w:val="nil"/>
              <w:bottom w:val="single" w:color="auto" w:sz="4" w:space="0"/>
              <w:right w:val="single" w:color="auto" w:sz="4" w:space="0"/>
            </w:tcBorders>
            <w:vAlign w:val="center"/>
          </w:tcPr>
          <w:p w14:paraId="34151402">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2517AED2">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437041D7">
            <w:pPr>
              <w:widowControl/>
              <w:jc w:val="center"/>
              <w:rPr>
                <w:rFonts w:ascii="宋体" w:hAnsi="宋体" w:eastAsia="宋体" w:cs="宋体"/>
                <w:b/>
                <w:bCs/>
                <w:color w:val="auto"/>
                <w:kern w:val="0"/>
                <w:sz w:val="22"/>
              </w:rPr>
            </w:pPr>
            <w:r>
              <w:rPr>
                <w:rFonts w:ascii="宋体" w:hAnsi="宋体" w:eastAsia="宋体" w:cs="宋体"/>
                <w:b/>
                <w:bCs/>
                <w:color w:val="auto"/>
                <w:kern w:val="0"/>
                <w:sz w:val="22"/>
              </w:rPr>
              <w:t>6</w:t>
            </w:r>
          </w:p>
        </w:tc>
        <w:tc>
          <w:tcPr>
            <w:tcW w:w="3696" w:type="pct"/>
            <w:gridSpan w:val="4"/>
            <w:tcBorders>
              <w:top w:val="single" w:color="auto" w:sz="4" w:space="0"/>
              <w:left w:val="nil"/>
              <w:bottom w:val="single" w:color="auto" w:sz="4" w:space="0"/>
              <w:right w:val="single" w:color="auto" w:sz="4" w:space="0"/>
            </w:tcBorders>
            <w:vAlign w:val="center"/>
          </w:tcPr>
          <w:p w14:paraId="449AAC3F">
            <w:pPr>
              <w:widowControl/>
              <w:jc w:val="center"/>
              <w:rPr>
                <w:rFonts w:ascii="宋体" w:hAnsi="宋体" w:eastAsia="宋体" w:cs="宋体"/>
                <w:b/>
                <w:bCs/>
                <w:color w:val="auto"/>
                <w:kern w:val="0"/>
                <w:sz w:val="22"/>
              </w:rPr>
            </w:pPr>
            <w:r>
              <w:rPr>
                <w:rFonts w:ascii="宋体" w:hAnsi="宋体" w:eastAsia="宋体" w:cs="宋体"/>
                <w:b/>
                <w:bCs/>
                <w:color w:val="auto"/>
                <w:kern w:val="0"/>
                <w:sz w:val="22"/>
              </w:rPr>
              <w:t>水浸系统</w:t>
            </w:r>
          </w:p>
        </w:tc>
        <w:tc>
          <w:tcPr>
            <w:tcW w:w="973" w:type="pct"/>
            <w:tcBorders>
              <w:top w:val="nil"/>
              <w:left w:val="nil"/>
              <w:bottom w:val="single" w:color="auto" w:sz="4" w:space="0"/>
              <w:right w:val="single" w:color="auto" w:sz="4" w:space="0"/>
            </w:tcBorders>
            <w:vAlign w:val="bottom"/>
          </w:tcPr>
          <w:p w14:paraId="7CCED03D">
            <w:pPr>
              <w:widowControl/>
              <w:jc w:val="left"/>
              <w:rPr>
                <w:rFonts w:ascii="等线" w:hAnsi="等线" w:eastAsia="等线" w:cs="宋体"/>
                <w:color w:val="auto"/>
                <w:kern w:val="0"/>
                <w:sz w:val="22"/>
              </w:rPr>
            </w:pPr>
            <w:r>
              <w:rPr>
                <w:rFonts w:ascii="等线" w:hAnsi="等线" w:eastAsia="等线" w:cs="宋体"/>
                <w:color w:val="auto"/>
                <w:kern w:val="0"/>
                <w:sz w:val="22"/>
              </w:rPr>
              <w:t>　</w:t>
            </w:r>
          </w:p>
        </w:tc>
      </w:tr>
      <w:tr w14:paraId="14E97FD4">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189A6F1B">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1343" w:type="pct"/>
            <w:tcBorders>
              <w:top w:val="nil"/>
              <w:left w:val="nil"/>
              <w:bottom w:val="single" w:color="auto" w:sz="4" w:space="0"/>
              <w:right w:val="single" w:color="auto" w:sz="4" w:space="0"/>
            </w:tcBorders>
            <w:vAlign w:val="center"/>
          </w:tcPr>
          <w:p w14:paraId="77A516DA">
            <w:pPr>
              <w:widowControl/>
              <w:jc w:val="center"/>
              <w:rPr>
                <w:rFonts w:ascii="宋体" w:hAnsi="宋体" w:eastAsia="宋体" w:cs="宋体"/>
                <w:color w:val="auto"/>
                <w:kern w:val="0"/>
                <w:sz w:val="22"/>
              </w:rPr>
            </w:pPr>
            <w:r>
              <w:rPr>
                <w:rFonts w:ascii="宋体" w:hAnsi="宋体" w:eastAsia="宋体" w:cs="宋体"/>
                <w:color w:val="auto"/>
                <w:kern w:val="0"/>
                <w:sz w:val="22"/>
              </w:rPr>
              <w:t>漏水感应绳</w:t>
            </w:r>
          </w:p>
        </w:tc>
        <w:tc>
          <w:tcPr>
            <w:tcW w:w="1646" w:type="pct"/>
            <w:tcBorders>
              <w:top w:val="nil"/>
              <w:left w:val="nil"/>
              <w:bottom w:val="single" w:color="auto" w:sz="4" w:space="0"/>
              <w:right w:val="single" w:color="auto" w:sz="4" w:space="0"/>
            </w:tcBorders>
            <w:vAlign w:val="center"/>
          </w:tcPr>
          <w:p w14:paraId="136AA44E">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vAlign w:val="center"/>
          </w:tcPr>
          <w:p w14:paraId="7D2E0898">
            <w:pPr>
              <w:widowControl/>
              <w:jc w:val="center"/>
              <w:rPr>
                <w:rFonts w:ascii="宋体" w:hAnsi="宋体" w:eastAsia="宋体" w:cs="宋体"/>
                <w:color w:val="auto"/>
                <w:kern w:val="0"/>
                <w:sz w:val="22"/>
              </w:rPr>
            </w:pPr>
            <w:r>
              <w:rPr>
                <w:rFonts w:ascii="宋体" w:hAnsi="宋体" w:eastAsia="宋体" w:cs="宋体"/>
                <w:color w:val="auto"/>
                <w:kern w:val="0"/>
                <w:sz w:val="22"/>
              </w:rPr>
              <w:t>米</w:t>
            </w:r>
          </w:p>
        </w:tc>
        <w:tc>
          <w:tcPr>
            <w:tcW w:w="395" w:type="pct"/>
            <w:tcBorders>
              <w:top w:val="nil"/>
              <w:left w:val="nil"/>
              <w:bottom w:val="single" w:color="auto" w:sz="4" w:space="0"/>
              <w:right w:val="single" w:color="auto" w:sz="4" w:space="0"/>
            </w:tcBorders>
            <w:vAlign w:val="center"/>
          </w:tcPr>
          <w:p w14:paraId="6A0C9B43">
            <w:pPr>
              <w:widowControl/>
              <w:jc w:val="center"/>
              <w:rPr>
                <w:rFonts w:ascii="宋体" w:hAnsi="宋体" w:eastAsia="宋体" w:cs="宋体"/>
                <w:color w:val="auto"/>
                <w:kern w:val="0"/>
                <w:sz w:val="22"/>
              </w:rPr>
            </w:pPr>
            <w:r>
              <w:rPr>
                <w:rFonts w:ascii="宋体" w:hAnsi="宋体" w:eastAsia="宋体" w:cs="宋体"/>
                <w:color w:val="auto"/>
                <w:kern w:val="0"/>
                <w:sz w:val="22"/>
              </w:rPr>
              <w:t>50</w:t>
            </w:r>
          </w:p>
        </w:tc>
        <w:tc>
          <w:tcPr>
            <w:tcW w:w="973" w:type="pct"/>
            <w:tcBorders>
              <w:top w:val="nil"/>
              <w:left w:val="nil"/>
              <w:bottom w:val="single" w:color="auto" w:sz="4" w:space="0"/>
              <w:right w:val="single" w:color="auto" w:sz="4" w:space="0"/>
            </w:tcBorders>
            <w:vAlign w:val="center"/>
          </w:tcPr>
          <w:p w14:paraId="00AD56D9">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7C272876">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5CD995F2">
            <w:pPr>
              <w:widowControl/>
              <w:jc w:val="center"/>
              <w:rPr>
                <w:rFonts w:ascii="宋体" w:hAnsi="宋体" w:eastAsia="宋体" w:cs="宋体"/>
                <w:color w:val="auto"/>
                <w:kern w:val="0"/>
                <w:sz w:val="22"/>
              </w:rPr>
            </w:pPr>
            <w:r>
              <w:rPr>
                <w:rFonts w:ascii="宋体" w:hAnsi="宋体" w:eastAsia="宋体" w:cs="宋体"/>
                <w:color w:val="auto"/>
                <w:kern w:val="0"/>
                <w:sz w:val="22"/>
              </w:rPr>
              <w:t>(2)</w:t>
            </w:r>
          </w:p>
        </w:tc>
        <w:tc>
          <w:tcPr>
            <w:tcW w:w="1343" w:type="pct"/>
            <w:tcBorders>
              <w:top w:val="nil"/>
              <w:left w:val="nil"/>
              <w:bottom w:val="single" w:color="auto" w:sz="4" w:space="0"/>
              <w:right w:val="single" w:color="auto" w:sz="4" w:space="0"/>
            </w:tcBorders>
            <w:vAlign w:val="center"/>
          </w:tcPr>
          <w:p w14:paraId="225A5785">
            <w:pPr>
              <w:widowControl/>
              <w:jc w:val="center"/>
              <w:rPr>
                <w:rFonts w:ascii="宋体" w:hAnsi="宋体" w:eastAsia="宋体" w:cs="宋体"/>
                <w:color w:val="auto"/>
                <w:kern w:val="0"/>
                <w:sz w:val="22"/>
              </w:rPr>
            </w:pPr>
            <w:r>
              <w:rPr>
                <w:rFonts w:ascii="宋体" w:hAnsi="宋体" w:eastAsia="宋体" w:cs="宋体"/>
                <w:color w:val="auto"/>
                <w:kern w:val="0"/>
                <w:sz w:val="22"/>
              </w:rPr>
              <w:t>水浸传感器</w:t>
            </w:r>
          </w:p>
        </w:tc>
        <w:tc>
          <w:tcPr>
            <w:tcW w:w="1646" w:type="pct"/>
            <w:tcBorders>
              <w:top w:val="nil"/>
              <w:left w:val="nil"/>
              <w:bottom w:val="single" w:color="auto" w:sz="4" w:space="0"/>
              <w:right w:val="single" w:color="auto" w:sz="4" w:space="0"/>
            </w:tcBorders>
            <w:vAlign w:val="center"/>
          </w:tcPr>
          <w:p w14:paraId="7EDC4900">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vAlign w:val="center"/>
          </w:tcPr>
          <w:p w14:paraId="63E99456">
            <w:pPr>
              <w:widowControl/>
              <w:jc w:val="center"/>
              <w:rPr>
                <w:rFonts w:ascii="宋体" w:hAnsi="宋体" w:eastAsia="宋体" w:cs="宋体"/>
                <w:color w:val="auto"/>
                <w:kern w:val="0"/>
                <w:sz w:val="22"/>
              </w:rPr>
            </w:pPr>
            <w:r>
              <w:rPr>
                <w:rFonts w:ascii="宋体" w:hAnsi="宋体" w:eastAsia="宋体" w:cs="宋体"/>
                <w:color w:val="auto"/>
                <w:kern w:val="0"/>
                <w:sz w:val="22"/>
              </w:rPr>
              <w:t>套</w:t>
            </w:r>
          </w:p>
        </w:tc>
        <w:tc>
          <w:tcPr>
            <w:tcW w:w="395" w:type="pct"/>
            <w:tcBorders>
              <w:top w:val="nil"/>
              <w:left w:val="nil"/>
              <w:bottom w:val="single" w:color="auto" w:sz="4" w:space="0"/>
              <w:right w:val="single" w:color="auto" w:sz="4" w:space="0"/>
            </w:tcBorders>
            <w:vAlign w:val="center"/>
          </w:tcPr>
          <w:p w14:paraId="12EC9384">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973" w:type="pct"/>
            <w:tcBorders>
              <w:top w:val="nil"/>
              <w:left w:val="nil"/>
              <w:bottom w:val="single" w:color="auto" w:sz="4" w:space="0"/>
              <w:right w:val="single" w:color="auto" w:sz="4" w:space="0"/>
            </w:tcBorders>
            <w:vAlign w:val="center"/>
          </w:tcPr>
          <w:p w14:paraId="18E3F47D">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66E7D6C4">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05483AE5">
            <w:pPr>
              <w:widowControl/>
              <w:jc w:val="center"/>
              <w:rPr>
                <w:rFonts w:ascii="宋体" w:hAnsi="宋体" w:eastAsia="宋体" w:cs="宋体"/>
                <w:color w:val="auto"/>
                <w:kern w:val="0"/>
                <w:sz w:val="22"/>
              </w:rPr>
            </w:pPr>
            <w:r>
              <w:rPr>
                <w:rFonts w:ascii="宋体" w:hAnsi="宋体" w:eastAsia="宋体" w:cs="宋体"/>
                <w:color w:val="auto"/>
                <w:kern w:val="0"/>
                <w:sz w:val="22"/>
              </w:rPr>
              <w:t>(3)</w:t>
            </w:r>
          </w:p>
        </w:tc>
        <w:tc>
          <w:tcPr>
            <w:tcW w:w="1343" w:type="pct"/>
            <w:tcBorders>
              <w:top w:val="nil"/>
              <w:left w:val="nil"/>
              <w:bottom w:val="single" w:color="auto" w:sz="4" w:space="0"/>
              <w:right w:val="single" w:color="auto" w:sz="4" w:space="0"/>
            </w:tcBorders>
            <w:shd w:val="clear" w:color="000000" w:fill="FFFFFF"/>
            <w:vAlign w:val="center"/>
          </w:tcPr>
          <w:p w14:paraId="3F0818C4">
            <w:pPr>
              <w:widowControl/>
              <w:jc w:val="center"/>
              <w:rPr>
                <w:rFonts w:ascii="宋体" w:hAnsi="宋体" w:eastAsia="宋体" w:cs="宋体"/>
                <w:color w:val="auto"/>
                <w:kern w:val="0"/>
                <w:sz w:val="22"/>
              </w:rPr>
            </w:pPr>
            <w:r>
              <w:rPr>
                <w:rFonts w:ascii="宋体" w:hAnsi="宋体" w:eastAsia="宋体" w:cs="宋体"/>
                <w:color w:val="auto"/>
                <w:kern w:val="0"/>
                <w:sz w:val="22"/>
              </w:rPr>
              <w:t>施工调试费用</w:t>
            </w:r>
          </w:p>
        </w:tc>
        <w:tc>
          <w:tcPr>
            <w:tcW w:w="1646" w:type="pct"/>
            <w:tcBorders>
              <w:top w:val="nil"/>
              <w:left w:val="nil"/>
              <w:bottom w:val="single" w:color="auto" w:sz="4" w:space="0"/>
              <w:right w:val="single" w:color="auto" w:sz="4" w:space="0"/>
            </w:tcBorders>
            <w:vAlign w:val="center"/>
          </w:tcPr>
          <w:p w14:paraId="34AAEC2C">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shd w:val="clear" w:color="000000" w:fill="FFFFFF"/>
            <w:vAlign w:val="center"/>
          </w:tcPr>
          <w:p w14:paraId="1C332D14">
            <w:pPr>
              <w:widowControl/>
              <w:jc w:val="center"/>
              <w:rPr>
                <w:rFonts w:ascii="宋体" w:hAnsi="宋体" w:eastAsia="宋体" w:cs="宋体"/>
                <w:color w:val="auto"/>
                <w:kern w:val="0"/>
                <w:sz w:val="22"/>
              </w:rPr>
            </w:pPr>
            <w:r>
              <w:rPr>
                <w:rFonts w:ascii="宋体" w:hAnsi="宋体" w:eastAsia="宋体" w:cs="宋体"/>
                <w:color w:val="auto"/>
                <w:kern w:val="0"/>
                <w:sz w:val="22"/>
              </w:rPr>
              <w:t>项</w:t>
            </w:r>
          </w:p>
        </w:tc>
        <w:tc>
          <w:tcPr>
            <w:tcW w:w="395" w:type="pct"/>
            <w:tcBorders>
              <w:top w:val="nil"/>
              <w:left w:val="nil"/>
              <w:bottom w:val="single" w:color="auto" w:sz="4" w:space="0"/>
              <w:right w:val="single" w:color="auto" w:sz="4" w:space="0"/>
            </w:tcBorders>
            <w:shd w:val="clear" w:color="000000" w:fill="FFFFFF"/>
            <w:vAlign w:val="center"/>
          </w:tcPr>
          <w:p w14:paraId="72550A9D">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973" w:type="pct"/>
            <w:tcBorders>
              <w:top w:val="nil"/>
              <w:left w:val="nil"/>
              <w:bottom w:val="single" w:color="auto" w:sz="4" w:space="0"/>
              <w:right w:val="single" w:color="auto" w:sz="4" w:space="0"/>
            </w:tcBorders>
            <w:vAlign w:val="center"/>
          </w:tcPr>
          <w:p w14:paraId="43852BA3">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1FDD70A7">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12D5247A">
            <w:pPr>
              <w:widowControl/>
              <w:jc w:val="center"/>
              <w:rPr>
                <w:rFonts w:ascii="宋体" w:hAnsi="宋体" w:eastAsia="宋体" w:cs="宋体"/>
                <w:b/>
                <w:bCs/>
                <w:color w:val="auto"/>
                <w:kern w:val="0"/>
                <w:sz w:val="22"/>
              </w:rPr>
            </w:pPr>
            <w:r>
              <w:rPr>
                <w:rFonts w:ascii="宋体" w:hAnsi="宋体" w:eastAsia="宋体" w:cs="宋体"/>
                <w:b/>
                <w:bCs/>
                <w:color w:val="auto"/>
                <w:kern w:val="0"/>
                <w:sz w:val="22"/>
              </w:rPr>
              <w:t>7</w:t>
            </w:r>
          </w:p>
        </w:tc>
        <w:tc>
          <w:tcPr>
            <w:tcW w:w="3696" w:type="pct"/>
            <w:gridSpan w:val="4"/>
            <w:tcBorders>
              <w:top w:val="single" w:color="auto" w:sz="4" w:space="0"/>
              <w:left w:val="nil"/>
              <w:bottom w:val="single" w:color="auto" w:sz="4" w:space="0"/>
              <w:right w:val="single" w:color="auto" w:sz="4" w:space="0"/>
            </w:tcBorders>
            <w:vAlign w:val="center"/>
          </w:tcPr>
          <w:p w14:paraId="15E50888">
            <w:pPr>
              <w:widowControl/>
              <w:jc w:val="center"/>
              <w:rPr>
                <w:rFonts w:ascii="宋体" w:hAnsi="宋体" w:eastAsia="宋体" w:cs="宋体"/>
                <w:b/>
                <w:bCs/>
                <w:color w:val="auto"/>
                <w:kern w:val="0"/>
                <w:sz w:val="22"/>
              </w:rPr>
            </w:pPr>
            <w:r>
              <w:rPr>
                <w:rFonts w:ascii="宋体" w:hAnsi="宋体" w:eastAsia="宋体" w:cs="宋体"/>
                <w:b/>
                <w:bCs/>
                <w:color w:val="auto"/>
                <w:kern w:val="0"/>
                <w:sz w:val="22"/>
              </w:rPr>
              <w:t>门禁装置</w:t>
            </w:r>
          </w:p>
        </w:tc>
        <w:tc>
          <w:tcPr>
            <w:tcW w:w="973" w:type="pct"/>
            <w:tcBorders>
              <w:top w:val="nil"/>
              <w:left w:val="nil"/>
              <w:bottom w:val="single" w:color="auto" w:sz="4" w:space="0"/>
              <w:right w:val="single" w:color="auto" w:sz="4" w:space="0"/>
            </w:tcBorders>
            <w:vAlign w:val="bottom"/>
          </w:tcPr>
          <w:p w14:paraId="0E850354">
            <w:pPr>
              <w:widowControl/>
              <w:jc w:val="left"/>
              <w:rPr>
                <w:rFonts w:ascii="等线" w:hAnsi="等线" w:eastAsia="等线" w:cs="宋体"/>
                <w:color w:val="auto"/>
                <w:kern w:val="0"/>
                <w:sz w:val="22"/>
              </w:rPr>
            </w:pPr>
            <w:r>
              <w:rPr>
                <w:rFonts w:ascii="等线" w:hAnsi="等线" w:eastAsia="等线" w:cs="宋体"/>
                <w:color w:val="auto"/>
                <w:kern w:val="0"/>
                <w:sz w:val="22"/>
              </w:rPr>
              <w:t>　</w:t>
            </w:r>
          </w:p>
        </w:tc>
      </w:tr>
      <w:tr w14:paraId="3CD3B152">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0D3786EB">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1343" w:type="pct"/>
            <w:tcBorders>
              <w:top w:val="nil"/>
              <w:left w:val="nil"/>
              <w:bottom w:val="single" w:color="auto" w:sz="4" w:space="0"/>
              <w:right w:val="single" w:color="auto" w:sz="4" w:space="0"/>
            </w:tcBorders>
            <w:vAlign w:val="center"/>
          </w:tcPr>
          <w:p w14:paraId="263FAD74">
            <w:pPr>
              <w:widowControl/>
              <w:jc w:val="center"/>
              <w:rPr>
                <w:rFonts w:ascii="宋体" w:hAnsi="宋体" w:eastAsia="宋体" w:cs="宋体"/>
                <w:color w:val="auto"/>
                <w:kern w:val="0"/>
                <w:sz w:val="22"/>
              </w:rPr>
            </w:pPr>
            <w:r>
              <w:rPr>
                <w:rFonts w:ascii="宋体" w:hAnsi="宋体" w:eastAsia="宋体" w:cs="宋体"/>
                <w:color w:val="auto"/>
                <w:kern w:val="0"/>
                <w:sz w:val="22"/>
              </w:rPr>
              <w:t>门禁系统</w:t>
            </w:r>
          </w:p>
        </w:tc>
        <w:tc>
          <w:tcPr>
            <w:tcW w:w="1646" w:type="pct"/>
            <w:tcBorders>
              <w:top w:val="nil"/>
              <w:left w:val="nil"/>
              <w:bottom w:val="single" w:color="auto" w:sz="4" w:space="0"/>
              <w:right w:val="single" w:color="auto" w:sz="4" w:space="0"/>
            </w:tcBorders>
            <w:vAlign w:val="center"/>
          </w:tcPr>
          <w:p w14:paraId="73EE0AF0">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vAlign w:val="center"/>
          </w:tcPr>
          <w:p w14:paraId="0E268430">
            <w:pPr>
              <w:widowControl/>
              <w:jc w:val="center"/>
              <w:rPr>
                <w:rFonts w:ascii="宋体" w:hAnsi="宋体" w:eastAsia="宋体" w:cs="宋体"/>
                <w:color w:val="auto"/>
                <w:kern w:val="0"/>
                <w:sz w:val="22"/>
              </w:rPr>
            </w:pPr>
            <w:r>
              <w:rPr>
                <w:rFonts w:ascii="宋体" w:hAnsi="宋体" w:eastAsia="宋体" w:cs="宋体"/>
                <w:color w:val="auto"/>
                <w:kern w:val="0"/>
                <w:sz w:val="22"/>
              </w:rPr>
              <w:t>套</w:t>
            </w:r>
          </w:p>
        </w:tc>
        <w:tc>
          <w:tcPr>
            <w:tcW w:w="395" w:type="pct"/>
            <w:tcBorders>
              <w:top w:val="nil"/>
              <w:left w:val="nil"/>
              <w:bottom w:val="single" w:color="auto" w:sz="4" w:space="0"/>
              <w:right w:val="single" w:color="auto" w:sz="4" w:space="0"/>
            </w:tcBorders>
            <w:vAlign w:val="center"/>
          </w:tcPr>
          <w:p w14:paraId="76A9E799">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973" w:type="pct"/>
            <w:tcBorders>
              <w:top w:val="nil"/>
              <w:left w:val="nil"/>
              <w:bottom w:val="single" w:color="auto" w:sz="4" w:space="0"/>
              <w:right w:val="single" w:color="auto" w:sz="4" w:space="0"/>
            </w:tcBorders>
            <w:vAlign w:val="center"/>
          </w:tcPr>
          <w:p w14:paraId="6F26C154">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18E2D644">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20466FBB">
            <w:pPr>
              <w:widowControl/>
              <w:jc w:val="center"/>
              <w:rPr>
                <w:rFonts w:ascii="宋体" w:hAnsi="宋体" w:eastAsia="宋体" w:cs="宋体"/>
                <w:color w:val="auto"/>
                <w:kern w:val="0"/>
                <w:sz w:val="22"/>
              </w:rPr>
            </w:pPr>
            <w:r>
              <w:rPr>
                <w:rFonts w:ascii="宋体" w:hAnsi="宋体" w:eastAsia="宋体" w:cs="宋体"/>
                <w:color w:val="auto"/>
                <w:kern w:val="0"/>
                <w:sz w:val="22"/>
              </w:rPr>
              <w:t>(2)</w:t>
            </w:r>
          </w:p>
        </w:tc>
        <w:tc>
          <w:tcPr>
            <w:tcW w:w="1343" w:type="pct"/>
            <w:tcBorders>
              <w:top w:val="nil"/>
              <w:left w:val="nil"/>
              <w:bottom w:val="single" w:color="auto" w:sz="4" w:space="0"/>
              <w:right w:val="single" w:color="auto" w:sz="4" w:space="0"/>
            </w:tcBorders>
            <w:shd w:val="clear" w:color="000000" w:fill="FFFFFF"/>
            <w:vAlign w:val="center"/>
          </w:tcPr>
          <w:p w14:paraId="493923B6">
            <w:pPr>
              <w:widowControl/>
              <w:jc w:val="center"/>
              <w:rPr>
                <w:rFonts w:ascii="宋体" w:hAnsi="宋体" w:eastAsia="宋体" w:cs="宋体"/>
                <w:color w:val="auto"/>
                <w:kern w:val="0"/>
                <w:sz w:val="22"/>
              </w:rPr>
            </w:pPr>
            <w:r>
              <w:rPr>
                <w:rFonts w:ascii="宋体" w:hAnsi="宋体" w:eastAsia="宋体" w:cs="宋体"/>
                <w:color w:val="auto"/>
                <w:kern w:val="0"/>
                <w:sz w:val="22"/>
              </w:rPr>
              <w:t>施工调试费用</w:t>
            </w:r>
          </w:p>
        </w:tc>
        <w:tc>
          <w:tcPr>
            <w:tcW w:w="1646" w:type="pct"/>
            <w:tcBorders>
              <w:top w:val="nil"/>
              <w:left w:val="nil"/>
              <w:bottom w:val="single" w:color="auto" w:sz="4" w:space="0"/>
              <w:right w:val="single" w:color="auto" w:sz="4" w:space="0"/>
            </w:tcBorders>
            <w:vAlign w:val="center"/>
          </w:tcPr>
          <w:p w14:paraId="301BE199">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shd w:val="clear" w:color="000000" w:fill="FFFFFF"/>
            <w:vAlign w:val="center"/>
          </w:tcPr>
          <w:p w14:paraId="38AA7450">
            <w:pPr>
              <w:widowControl/>
              <w:jc w:val="center"/>
              <w:rPr>
                <w:rFonts w:ascii="宋体" w:hAnsi="宋体" w:eastAsia="宋体" w:cs="宋体"/>
                <w:color w:val="auto"/>
                <w:kern w:val="0"/>
                <w:sz w:val="22"/>
              </w:rPr>
            </w:pPr>
            <w:r>
              <w:rPr>
                <w:rFonts w:ascii="宋体" w:hAnsi="宋体" w:eastAsia="宋体" w:cs="宋体"/>
                <w:color w:val="auto"/>
                <w:kern w:val="0"/>
                <w:sz w:val="22"/>
              </w:rPr>
              <w:t>项</w:t>
            </w:r>
          </w:p>
        </w:tc>
        <w:tc>
          <w:tcPr>
            <w:tcW w:w="395" w:type="pct"/>
            <w:tcBorders>
              <w:top w:val="nil"/>
              <w:left w:val="nil"/>
              <w:bottom w:val="single" w:color="auto" w:sz="4" w:space="0"/>
              <w:right w:val="single" w:color="auto" w:sz="4" w:space="0"/>
            </w:tcBorders>
            <w:shd w:val="clear" w:color="000000" w:fill="FFFFFF"/>
            <w:vAlign w:val="center"/>
          </w:tcPr>
          <w:p w14:paraId="7E3CF0B5">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973" w:type="pct"/>
            <w:tcBorders>
              <w:top w:val="nil"/>
              <w:left w:val="nil"/>
              <w:bottom w:val="single" w:color="auto" w:sz="4" w:space="0"/>
              <w:right w:val="single" w:color="auto" w:sz="4" w:space="0"/>
            </w:tcBorders>
            <w:vAlign w:val="center"/>
          </w:tcPr>
          <w:p w14:paraId="02EB532F">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0E53612A">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174C6AD7">
            <w:pPr>
              <w:widowControl/>
              <w:jc w:val="center"/>
              <w:rPr>
                <w:rFonts w:ascii="宋体" w:hAnsi="宋体" w:eastAsia="宋体" w:cs="宋体"/>
                <w:b/>
                <w:bCs/>
                <w:color w:val="auto"/>
                <w:kern w:val="0"/>
                <w:sz w:val="22"/>
              </w:rPr>
            </w:pPr>
            <w:r>
              <w:rPr>
                <w:rFonts w:ascii="宋体" w:hAnsi="宋体" w:eastAsia="宋体" w:cs="宋体"/>
                <w:b/>
                <w:bCs/>
                <w:color w:val="auto"/>
                <w:kern w:val="0"/>
                <w:sz w:val="22"/>
              </w:rPr>
              <w:t>9</w:t>
            </w:r>
          </w:p>
        </w:tc>
        <w:tc>
          <w:tcPr>
            <w:tcW w:w="3696" w:type="pct"/>
            <w:gridSpan w:val="4"/>
            <w:tcBorders>
              <w:top w:val="single" w:color="auto" w:sz="4" w:space="0"/>
              <w:left w:val="nil"/>
              <w:bottom w:val="single" w:color="auto" w:sz="4" w:space="0"/>
              <w:right w:val="single" w:color="auto" w:sz="4" w:space="0"/>
            </w:tcBorders>
            <w:vAlign w:val="center"/>
          </w:tcPr>
          <w:p w14:paraId="69AB70CD">
            <w:pPr>
              <w:widowControl/>
              <w:jc w:val="center"/>
              <w:rPr>
                <w:rFonts w:ascii="宋体" w:hAnsi="宋体" w:eastAsia="宋体" w:cs="宋体"/>
                <w:b/>
                <w:bCs/>
                <w:color w:val="auto"/>
                <w:kern w:val="0"/>
                <w:sz w:val="22"/>
              </w:rPr>
            </w:pPr>
            <w:r>
              <w:rPr>
                <w:rFonts w:ascii="宋体" w:hAnsi="宋体" w:eastAsia="宋体" w:cs="宋体"/>
                <w:b/>
                <w:bCs/>
                <w:color w:val="auto"/>
                <w:kern w:val="0"/>
                <w:sz w:val="22"/>
              </w:rPr>
              <w:t>通讯柜</w:t>
            </w:r>
          </w:p>
        </w:tc>
        <w:tc>
          <w:tcPr>
            <w:tcW w:w="973" w:type="pct"/>
            <w:tcBorders>
              <w:top w:val="nil"/>
              <w:left w:val="nil"/>
              <w:bottom w:val="single" w:color="auto" w:sz="4" w:space="0"/>
              <w:right w:val="single" w:color="auto" w:sz="4" w:space="0"/>
            </w:tcBorders>
            <w:vAlign w:val="bottom"/>
          </w:tcPr>
          <w:p w14:paraId="7113593D">
            <w:pPr>
              <w:widowControl/>
              <w:jc w:val="left"/>
              <w:rPr>
                <w:rFonts w:ascii="等线" w:hAnsi="等线" w:eastAsia="等线" w:cs="宋体"/>
                <w:color w:val="auto"/>
                <w:kern w:val="0"/>
                <w:sz w:val="22"/>
              </w:rPr>
            </w:pPr>
            <w:r>
              <w:rPr>
                <w:rFonts w:ascii="等线" w:hAnsi="等线" w:eastAsia="等线" w:cs="宋体"/>
                <w:color w:val="auto"/>
                <w:kern w:val="0"/>
                <w:sz w:val="22"/>
              </w:rPr>
              <w:t>　</w:t>
            </w:r>
          </w:p>
        </w:tc>
      </w:tr>
      <w:tr w14:paraId="2B41F714">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2FC3403B">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1343" w:type="pct"/>
            <w:tcBorders>
              <w:top w:val="nil"/>
              <w:left w:val="nil"/>
              <w:bottom w:val="single" w:color="auto" w:sz="4" w:space="0"/>
              <w:right w:val="single" w:color="auto" w:sz="4" w:space="0"/>
            </w:tcBorders>
            <w:vAlign w:val="center"/>
          </w:tcPr>
          <w:p w14:paraId="7083E535">
            <w:pPr>
              <w:widowControl/>
              <w:jc w:val="center"/>
              <w:rPr>
                <w:rFonts w:ascii="宋体" w:hAnsi="宋体" w:eastAsia="宋体" w:cs="宋体"/>
                <w:color w:val="auto"/>
                <w:kern w:val="0"/>
                <w:sz w:val="22"/>
              </w:rPr>
            </w:pPr>
            <w:r>
              <w:rPr>
                <w:rFonts w:ascii="宋体" w:hAnsi="宋体" w:eastAsia="宋体" w:cs="宋体"/>
                <w:color w:val="auto"/>
                <w:kern w:val="0"/>
                <w:sz w:val="22"/>
              </w:rPr>
              <w:t>通讯管理机</w:t>
            </w:r>
          </w:p>
        </w:tc>
        <w:tc>
          <w:tcPr>
            <w:tcW w:w="1646" w:type="pct"/>
            <w:tcBorders>
              <w:top w:val="nil"/>
              <w:left w:val="nil"/>
              <w:bottom w:val="single" w:color="auto" w:sz="4" w:space="0"/>
              <w:right w:val="single" w:color="auto" w:sz="4" w:space="0"/>
            </w:tcBorders>
            <w:vAlign w:val="center"/>
          </w:tcPr>
          <w:p w14:paraId="0EFD10ED">
            <w:pPr>
              <w:widowControl/>
              <w:jc w:val="center"/>
              <w:rPr>
                <w:rFonts w:ascii="宋体" w:hAnsi="宋体" w:eastAsia="宋体" w:cs="宋体"/>
                <w:color w:val="auto"/>
                <w:kern w:val="0"/>
                <w:sz w:val="22"/>
              </w:rPr>
            </w:pPr>
            <w:r>
              <w:rPr>
                <w:rFonts w:ascii="宋体" w:hAnsi="宋体" w:eastAsia="宋体" w:cs="宋体"/>
                <w:color w:val="auto"/>
                <w:kern w:val="0"/>
                <w:sz w:val="22"/>
              </w:rPr>
              <w:t>IMU6100</w:t>
            </w:r>
          </w:p>
        </w:tc>
        <w:tc>
          <w:tcPr>
            <w:tcW w:w="312" w:type="pct"/>
            <w:tcBorders>
              <w:top w:val="nil"/>
              <w:left w:val="nil"/>
              <w:bottom w:val="single" w:color="auto" w:sz="4" w:space="0"/>
              <w:right w:val="single" w:color="auto" w:sz="4" w:space="0"/>
            </w:tcBorders>
            <w:vAlign w:val="center"/>
          </w:tcPr>
          <w:p w14:paraId="1D7F1284">
            <w:pPr>
              <w:widowControl/>
              <w:jc w:val="center"/>
              <w:rPr>
                <w:rFonts w:ascii="宋体" w:hAnsi="宋体" w:eastAsia="宋体" w:cs="宋体"/>
                <w:color w:val="auto"/>
                <w:kern w:val="0"/>
                <w:sz w:val="22"/>
              </w:rPr>
            </w:pPr>
            <w:r>
              <w:rPr>
                <w:rFonts w:ascii="宋体" w:hAnsi="宋体" w:eastAsia="宋体" w:cs="宋体"/>
                <w:color w:val="auto"/>
                <w:kern w:val="0"/>
                <w:sz w:val="22"/>
              </w:rPr>
              <w:t>台</w:t>
            </w:r>
          </w:p>
        </w:tc>
        <w:tc>
          <w:tcPr>
            <w:tcW w:w="395" w:type="pct"/>
            <w:tcBorders>
              <w:top w:val="nil"/>
              <w:left w:val="nil"/>
              <w:bottom w:val="single" w:color="auto" w:sz="4" w:space="0"/>
              <w:right w:val="single" w:color="auto" w:sz="4" w:space="0"/>
            </w:tcBorders>
            <w:vAlign w:val="center"/>
          </w:tcPr>
          <w:p w14:paraId="2EF61132">
            <w:pPr>
              <w:widowControl/>
              <w:jc w:val="center"/>
              <w:rPr>
                <w:rFonts w:ascii="宋体" w:hAnsi="宋体" w:eastAsia="宋体" w:cs="宋体"/>
                <w:color w:val="auto"/>
                <w:kern w:val="0"/>
                <w:sz w:val="22"/>
              </w:rPr>
            </w:pPr>
            <w:r>
              <w:rPr>
                <w:rFonts w:ascii="宋体" w:hAnsi="宋体" w:eastAsia="宋体" w:cs="宋体"/>
                <w:color w:val="auto"/>
                <w:kern w:val="0"/>
                <w:sz w:val="22"/>
              </w:rPr>
              <w:t>2</w:t>
            </w:r>
          </w:p>
        </w:tc>
        <w:tc>
          <w:tcPr>
            <w:tcW w:w="973" w:type="pct"/>
            <w:tcBorders>
              <w:top w:val="nil"/>
              <w:left w:val="nil"/>
              <w:bottom w:val="single" w:color="auto" w:sz="4" w:space="0"/>
              <w:right w:val="single" w:color="auto" w:sz="4" w:space="0"/>
            </w:tcBorders>
            <w:vAlign w:val="center"/>
          </w:tcPr>
          <w:p w14:paraId="30FE6A54">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797EB206">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1CB07696">
            <w:pPr>
              <w:widowControl/>
              <w:jc w:val="center"/>
              <w:rPr>
                <w:rFonts w:ascii="宋体" w:hAnsi="宋体" w:eastAsia="宋体" w:cs="宋体"/>
                <w:color w:val="auto"/>
                <w:kern w:val="0"/>
                <w:sz w:val="22"/>
              </w:rPr>
            </w:pPr>
            <w:r>
              <w:rPr>
                <w:rFonts w:ascii="宋体" w:hAnsi="宋体" w:eastAsia="宋体" w:cs="宋体"/>
                <w:color w:val="auto"/>
                <w:kern w:val="0"/>
                <w:sz w:val="22"/>
              </w:rPr>
              <w:t>(2)</w:t>
            </w:r>
          </w:p>
        </w:tc>
        <w:tc>
          <w:tcPr>
            <w:tcW w:w="1343" w:type="pct"/>
            <w:tcBorders>
              <w:top w:val="nil"/>
              <w:left w:val="nil"/>
              <w:bottom w:val="single" w:color="auto" w:sz="4" w:space="0"/>
              <w:right w:val="single" w:color="auto" w:sz="4" w:space="0"/>
            </w:tcBorders>
            <w:vAlign w:val="center"/>
          </w:tcPr>
          <w:p w14:paraId="38C21470">
            <w:pPr>
              <w:widowControl/>
              <w:jc w:val="center"/>
              <w:rPr>
                <w:rFonts w:ascii="宋体" w:hAnsi="宋体" w:eastAsia="宋体" w:cs="宋体"/>
                <w:color w:val="auto"/>
                <w:kern w:val="0"/>
                <w:sz w:val="22"/>
              </w:rPr>
            </w:pPr>
            <w:r>
              <w:rPr>
                <w:rFonts w:ascii="宋体" w:hAnsi="宋体" w:eastAsia="宋体" w:cs="宋体"/>
                <w:color w:val="auto"/>
                <w:kern w:val="0"/>
                <w:sz w:val="22"/>
              </w:rPr>
              <w:t>交换机</w:t>
            </w:r>
          </w:p>
        </w:tc>
        <w:tc>
          <w:tcPr>
            <w:tcW w:w="1646" w:type="pct"/>
            <w:tcBorders>
              <w:top w:val="nil"/>
              <w:left w:val="nil"/>
              <w:bottom w:val="single" w:color="auto" w:sz="4" w:space="0"/>
              <w:right w:val="single" w:color="auto" w:sz="4" w:space="0"/>
            </w:tcBorders>
            <w:vAlign w:val="center"/>
          </w:tcPr>
          <w:p w14:paraId="0896CC28">
            <w:pPr>
              <w:widowControl/>
              <w:jc w:val="center"/>
              <w:rPr>
                <w:rFonts w:ascii="宋体" w:hAnsi="宋体" w:eastAsia="宋体" w:cs="宋体"/>
                <w:color w:val="auto"/>
                <w:kern w:val="0"/>
                <w:sz w:val="22"/>
              </w:rPr>
            </w:pPr>
            <w:r>
              <w:rPr>
                <w:rFonts w:ascii="宋体" w:hAnsi="宋体" w:eastAsia="宋体" w:cs="宋体"/>
                <w:color w:val="auto"/>
                <w:kern w:val="0"/>
                <w:sz w:val="22"/>
              </w:rPr>
              <w:t>2光24电</w:t>
            </w:r>
          </w:p>
        </w:tc>
        <w:tc>
          <w:tcPr>
            <w:tcW w:w="312" w:type="pct"/>
            <w:tcBorders>
              <w:top w:val="nil"/>
              <w:left w:val="nil"/>
              <w:bottom w:val="single" w:color="auto" w:sz="4" w:space="0"/>
              <w:right w:val="single" w:color="auto" w:sz="4" w:space="0"/>
            </w:tcBorders>
            <w:vAlign w:val="center"/>
          </w:tcPr>
          <w:p w14:paraId="1C22C83D">
            <w:pPr>
              <w:widowControl/>
              <w:jc w:val="center"/>
              <w:rPr>
                <w:rFonts w:ascii="宋体" w:hAnsi="宋体" w:eastAsia="宋体" w:cs="宋体"/>
                <w:color w:val="auto"/>
                <w:kern w:val="0"/>
                <w:sz w:val="22"/>
              </w:rPr>
            </w:pPr>
            <w:r>
              <w:rPr>
                <w:rFonts w:ascii="宋体" w:hAnsi="宋体" w:eastAsia="宋体" w:cs="宋体"/>
                <w:color w:val="auto"/>
                <w:kern w:val="0"/>
                <w:sz w:val="22"/>
              </w:rPr>
              <w:t>台</w:t>
            </w:r>
          </w:p>
        </w:tc>
        <w:tc>
          <w:tcPr>
            <w:tcW w:w="395" w:type="pct"/>
            <w:tcBorders>
              <w:top w:val="nil"/>
              <w:left w:val="nil"/>
              <w:bottom w:val="single" w:color="auto" w:sz="4" w:space="0"/>
              <w:right w:val="single" w:color="auto" w:sz="4" w:space="0"/>
            </w:tcBorders>
            <w:vAlign w:val="center"/>
          </w:tcPr>
          <w:p w14:paraId="7D689E5A">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973" w:type="pct"/>
            <w:tcBorders>
              <w:top w:val="nil"/>
              <w:left w:val="nil"/>
              <w:bottom w:val="single" w:color="auto" w:sz="4" w:space="0"/>
              <w:right w:val="single" w:color="auto" w:sz="4" w:space="0"/>
            </w:tcBorders>
            <w:vAlign w:val="center"/>
          </w:tcPr>
          <w:p w14:paraId="318FECDD">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760086FD">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0C8084EC">
            <w:pPr>
              <w:widowControl/>
              <w:jc w:val="center"/>
              <w:rPr>
                <w:rFonts w:ascii="宋体" w:hAnsi="宋体" w:eastAsia="宋体" w:cs="宋体"/>
                <w:color w:val="auto"/>
                <w:kern w:val="0"/>
                <w:sz w:val="22"/>
              </w:rPr>
            </w:pPr>
            <w:r>
              <w:rPr>
                <w:rFonts w:ascii="宋体" w:hAnsi="宋体" w:eastAsia="宋体" w:cs="宋体"/>
                <w:color w:val="auto"/>
                <w:kern w:val="0"/>
                <w:sz w:val="22"/>
              </w:rPr>
              <w:t>(3)</w:t>
            </w:r>
          </w:p>
        </w:tc>
        <w:tc>
          <w:tcPr>
            <w:tcW w:w="1343" w:type="pct"/>
            <w:tcBorders>
              <w:top w:val="nil"/>
              <w:left w:val="nil"/>
              <w:bottom w:val="single" w:color="auto" w:sz="4" w:space="0"/>
              <w:right w:val="single" w:color="auto" w:sz="4" w:space="0"/>
            </w:tcBorders>
            <w:vAlign w:val="center"/>
          </w:tcPr>
          <w:p w14:paraId="39780536">
            <w:pPr>
              <w:widowControl/>
              <w:jc w:val="center"/>
              <w:rPr>
                <w:rFonts w:ascii="宋体" w:hAnsi="宋体" w:eastAsia="宋体" w:cs="宋体"/>
                <w:color w:val="auto"/>
                <w:kern w:val="0"/>
                <w:sz w:val="22"/>
              </w:rPr>
            </w:pPr>
            <w:r>
              <w:rPr>
                <w:rFonts w:ascii="宋体" w:hAnsi="宋体" w:eastAsia="宋体" w:cs="宋体"/>
                <w:color w:val="auto"/>
                <w:kern w:val="0"/>
                <w:sz w:val="22"/>
              </w:rPr>
              <w:t>云盒</w:t>
            </w:r>
          </w:p>
        </w:tc>
        <w:tc>
          <w:tcPr>
            <w:tcW w:w="1646" w:type="pct"/>
            <w:tcBorders>
              <w:top w:val="nil"/>
              <w:left w:val="nil"/>
              <w:bottom w:val="single" w:color="auto" w:sz="4" w:space="0"/>
              <w:right w:val="single" w:color="auto" w:sz="4" w:space="0"/>
            </w:tcBorders>
            <w:vAlign w:val="center"/>
          </w:tcPr>
          <w:p w14:paraId="4C6CBA4A">
            <w:pPr>
              <w:widowControl/>
              <w:jc w:val="center"/>
              <w:rPr>
                <w:rFonts w:ascii="宋体" w:hAnsi="宋体" w:eastAsia="宋体" w:cs="宋体"/>
                <w:color w:val="auto"/>
                <w:kern w:val="0"/>
                <w:sz w:val="22"/>
              </w:rPr>
            </w:pPr>
            <w:r>
              <w:rPr>
                <w:rFonts w:ascii="宋体" w:hAnsi="宋体" w:eastAsia="宋体" w:cs="宋体"/>
                <w:color w:val="auto"/>
                <w:kern w:val="0"/>
                <w:sz w:val="22"/>
              </w:rPr>
              <w:t>IMU6500-eBOX</w:t>
            </w:r>
          </w:p>
        </w:tc>
        <w:tc>
          <w:tcPr>
            <w:tcW w:w="312" w:type="pct"/>
            <w:tcBorders>
              <w:top w:val="nil"/>
              <w:left w:val="nil"/>
              <w:bottom w:val="single" w:color="auto" w:sz="4" w:space="0"/>
              <w:right w:val="single" w:color="auto" w:sz="4" w:space="0"/>
            </w:tcBorders>
            <w:vAlign w:val="center"/>
          </w:tcPr>
          <w:p w14:paraId="02338247">
            <w:pPr>
              <w:widowControl/>
              <w:jc w:val="center"/>
              <w:rPr>
                <w:rFonts w:ascii="宋体" w:hAnsi="宋体" w:eastAsia="宋体" w:cs="宋体"/>
                <w:color w:val="auto"/>
                <w:kern w:val="0"/>
                <w:sz w:val="22"/>
              </w:rPr>
            </w:pPr>
            <w:r>
              <w:rPr>
                <w:rFonts w:ascii="宋体" w:hAnsi="宋体" w:eastAsia="宋体" w:cs="宋体"/>
                <w:color w:val="auto"/>
                <w:kern w:val="0"/>
                <w:sz w:val="22"/>
              </w:rPr>
              <w:t>台</w:t>
            </w:r>
          </w:p>
        </w:tc>
        <w:tc>
          <w:tcPr>
            <w:tcW w:w="395" w:type="pct"/>
            <w:tcBorders>
              <w:top w:val="nil"/>
              <w:left w:val="nil"/>
              <w:bottom w:val="single" w:color="auto" w:sz="4" w:space="0"/>
              <w:right w:val="single" w:color="auto" w:sz="4" w:space="0"/>
            </w:tcBorders>
            <w:vAlign w:val="center"/>
          </w:tcPr>
          <w:p w14:paraId="0D1985A9">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973" w:type="pct"/>
            <w:tcBorders>
              <w:top w:val="nil"/>
              <w:left w:val="nil"/>
              <w:bottom w:val="single" w:color="auto" w:sz="4" w:space="0"/>
              <w:right w:val="single" w:color="auto" w:sz="4" w:space="0"/>
            </w:tcBorders>
            <w:vAlign w:val="center"/>
          </w:tcPr>
          <w:p w14:paraId="272949CA">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60E3D3D5">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shd w:val="clear" w:color="000000" w:fill="FFFFFF"/>
            <w:vAlign w:val="center"/>
          </w:tcPr>
          <w:p w14:paraId="0D4786D8">
            <w:pPr>
              <w:widowControl/>
              <w:jc w:val="center"/>
              <w:rPr>
                <w:rFonts w:ascii="宋体" w:hAnsi="宋体" w:eastAsia="宋体" w:cs="宋体"/>
                <w:color w:val="auto"/>
                <w:kern w:val="0"/>
                <w:sz w:val="22"/>
              </w:rPr>
            </w:pPr>
            <w:r>
              <w:rPr>
                <w:rFonts w:ascii="宋体" w:hAnsi="宋体" w:eastAsia="宋体" w:cs="宋体"/>
                <w:color w:val="auto"/>
                <w:kern w:val="0"/>
                <w:sz w:val="22"/>
              </w:rPr>
              <w:t>(4)</w:t>
            </w:r>
          </w:p>
        </w:tc>
        <w:tc>
          <w:tcPr>
            <w:tcW w:w="1343" w:type="pct"/>
            <w:tcBorders>
              <w:top w:val="nil"/>
              <w:left w:val="nil"/>
              <w:bottom w:val="single" w:color="auto" w:sz="4" w:space="0"/>
              <w:right w:val="single" w:color="auto" w:sz="4" w:space="0"/>
            </w:tcBorders>
            <w:shd w:val="clear" w:color="000000" w:fill="FFFFFF"/>
            <w:vAlign w:val="center"/>
          </w:tcPr>
          <w:p w14:paraId="0C0CD022">
            <w:pPr>
              <w:widowControl/>
              <w:jc w:val="center"/>
              <w:rPr>
                <w:rFonts w:ascii="宋体" w:hAnsi="宋体" w:eastAsia="宋体" w:cs="宋体"/>
                <w:color w:val="auto"/>
                <w:kern w:val="0"/>
                <w:sz w:val="22"/>
              </w:rPr>
            </w:pPr>
            <w:r>
              <w:rPr>
                <w:rFonts w:ascii="宋体" w:hAnsi="宋体" w:eastAsia="宋体" w:cs="宋体"/>
                <w:color w:val="auto"/>
                <w:kern w:val="0"/>
                <w:sz w:val="22"/>
              </w:rPr>
              <w:t>无线路由器</w:t>
            </w:r>
          </w:p>
        </w:tc>
        <w:tc>
          <w:tcPr>
            <w:tcW w:w="1646" w:type="pct"/>
            <w:tcBorders>
              <w:top w:val="nil"/>
              <w:left w:val="nil"/>
              <w:bottom w:val="single" w:color="auto" w:sz="4" w:space="0"/>
              <w:right w:val="single" w:color="auto" w:sz="4" w:space="0"/>
            </w:tcBorders>
            <w:shd w:val="clear" w:color="000000" w:fill="FFFFFF"/>
            <w:vAlign w:val="center"/>
          </w:tcPr>
          <w:p w14:paraId="62995CA6">
            <w:pPr>
              <w:widowControl/>
              <w:jc w:val="center"/>
              <w:rPr>
                <w:rFonts w:ascii="宋体" w:hAnsi="宋体" w:eastAsia="宋体" w:cs="宋体"/>
                <w:color w:val="auto"/>
                <w:kern w:val="0"/>
                <w:sz w:val="22"/>
              </w:rPr>
            </w:pPr>
            <w:r>
              <w:rPr>
                <w:rFonts w:ascii="宋体" w:hAnsi="宋体" w:eastAsia="宋体" w:cs="宋体"/>
                <w:color w:val="auto"/>
                <w:kern w:val="0"/>
                <w:sz w:val="22"/>
              </w:rPr>
              <w:t>　</w:t>
            </w:r>
          </w:p>
        </w:tc>
        <w:tc>
          <w:tcPr>
            <w:tcW w:w="312" w:type="pct"/>
            <w:tcBorders>
              <w:top w:val="nil"/>
              <w:left w:val="nil"/>
              <w:bottom w:val="single" w:color="auto" w:sz="4" w:space="0"/>
              <w:right w:val="single" w:color="auto" w:sz="4" w:space="0"/>
            </w:tcBorders>
            <w:shd w:val="clear" w:color="000000" w:fill="FFFFFF"/>
            <w:vAlign w:val="center"/>
          </w:tcPr>
          <w:p w14:paraId="30844444">
            <w:pPr>
              <w:widowControl/>
              <w:jc w:val="center"/>
              <w:rPr>
                <w:rFonts w:ascii="宋体" w:hAnsi="宋体" w:eastAsia="宋体" w:cs="宋体"/>
                <w:color w:val="auto"/>
                <w:kern w:val="0"/>
                <w:sz w:val="22"/>
              </w:rPr>
            </w:pPr>
            <w:r>
              <w:rPr>
                <w:rFonts w:ascii="宋体" w:hAnsi="宋体" w:eastAsia="宋体" w:cs="宋体"/>
                <w:color w:val="auto"/>
                <w:kern w:val="0"/>
                <w:sz w:val="22"/>
              </w:rPr>
              <w:t>台</w:t>
            </w:r>
          </w:p>
        </w:tc>
        <w:tc>
          <w:tcPr>
            <w:tcW w:w="395" w:type="pct"/>
            <w:tcBorders>
              <w:top w:val="nil"/>
              <w:left w:val="nil"/>
              <w:bottom w:val="single" w:color="auto" w:sz="4" w:space="0"/>
              <w:right w:val="single" w:color="auto" w:sz="4" w:space="0"/>
            </w:tcBorders>
            <w:shd w:val="clear" w:color="000000" w:fill="FFFFFF"/>
            <w:vAlign w:val="center"/>
          </w:tcPr>
          <w:p w14:paraId="5D3BB71F">
            <w:pPr>
              <w:widowControl/>
              <w:jc w:val="center"/>
              <w:rPr>
                <w:rFonts w:ascii="宋体" w:hAnsi="宋体" w:eastAsia="宋体" w:cs="宋体"/>
                <w:color w:val="auto"/>
                <w:kern w:val="0"/>
                <w:sz w:val="22"/>
              </w:rPr>
            </w:pPr>
            <w:r>
              <w:rPr>
                <w:rFonts w:ascii="宋体" w:hAnsi="宋体" w:eastAsia="宋体" w:cs="宋体"/>
                <w:color w:val="auto"/>
                <w:kern w:val="0"/>
                <w:sz w:val="22"/>
              </w:rPr>
              <w:t>2</w:t>
            </w:r>
          </w:p>
        </w:tc>
        <w:tc>
          <w:tcPr>
            <w:tcW w:w="973" w:type="pct"/>
            <w:tcBorders>
              <w:top w:val="nil"/>
              <w:left w:val="nil"/>
              <w:bottom w:val="single" w:color="auto" w:sz="4" w:space="0"/>
              <w:right w:val="single" w:color="auto" w:sz="4" w:space="0"/>
            </w:tcBorders>
            <w:shd w:val="clear" w:color="000000" w:fill="FFFFFF"/>
            <w:vAlign w:val="center"/>
          </w:tcPr>
          <w:p w14:paraId="56ED18F8">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r w14:paraId="5AA8B36D">
        <w:tblPrEx>
          <w:tblCellMar>
            <w:top w:w="0" w:type="dxa"/>
            <w:left w:w="108" w:type="dxa"/>
            <w:bottom w:w="0" w:type="dxa"/>
            <w:right w:w="108" w:type="dxa"/>
          </w:tblCellMar>
        </w:tblPrEx>
        <w:trPr>
          <w:trHeight w:val="396" w:hRule="atLeast"/>
        </w:trPr>
        <w:tc>
          <w:tcPr>
            <w:tcW w:w="331" w:type="pct"/>
            <w:tcBorders>
              <w:top w:val="nil"/>
              <w:left w:val="single" w:color="auto" w:sz="4" w:space="0"/>
              <w:bottom w:val="single" w:color="auto" w:sz="4" w:space="0"/>
              <w:right w:val="single" w:color="auto" w:sz="4" w:space="0"/>
            </w:tcBorders>
            <w:vAlign w:val="center"/>
          </w:tcPr>
          <w:p w14:paraId="1F42883E">
            <w:pPr>
              <w:widowControl/>
              <w:jc w:val="center"/>
              <w:rPr>
                <w:rFonts w:ascii="宋体" w:hAnsi="宋体" w:eastAsia="宋体" w:cs="宋体"/>
                <w:color w:val="auto"/>
                <w:kern w:val="0"/>
                <w:sz w:val="22"/>
              </w:rPr>
            </w:pPr>
            <w:r>
              <w:rPr>
                <w:rFonts w:ascii="宋体" w:hAnsi="宋体" w:eastAsia="宋体" w:cs="宋体"/>
                <w:color w:val="auto"/>
                <w:kern w:val="0"/>
                <w:sz w:val="22"/>
              </w:rPr>
              <w:t>(5)</w:t>
            </w:r>
          </w:p>
        </w:tc>
        <w:tc>
          <w:tcPr>
            <w:tcW w:w="1343" w:type="pct"/>
            <w:tcBorders>
              <w:top w:val="nil"/>
              <w:left w:val="nil"/>
              <w:bottom w:val="single" w:color="auto" w:sz="4" w:space="0"/>
              <w:right w:val="single" w:color="auto" w:sz="4" w:space="0"/>
            </w:tcBorders>
            <w:vAlign w:val="center"/>
          </w:tcPr>
          <w:p w14:paraId="567181A6">
            <w:pPr>
              <w:widowControl/>
              <w:jc w:val="center"/>
              <w:rPr>
                <w:rFonts w:ascii="宋体" w:hAnsi="宋体" w:eastAsia="宋体" w:cs="宋体"/>
                <w:color w:val="auto"/>
                <w:kern w:val="0"/>
                <w:sz w:val="22"/>
              </w:rPr>
            </w:pPr>
            <w:r>
              <w:rPr>
                <w:rFonts w:ascii="宋体" w:hAnsi="宋体" w:eastAsia="宋体" w:cs="宋体"/>
                <w:color w:val="auto"/>
                <w:kern w:val="0"/>
                <w:sz w:val="22"/>
              </w:rPr>
              <w:t>通讯柜</w:t>
            </w:r>
          </w:p>
        </w:tc>
        <w:tc>
          <w:tcPr>
            <w:tcW w:w="1646" w:type="pct"/>
            <w:tcBorders>
              <w:top w:val="nil"/>
              <w:left w:val="nil"/>
              <w:bottom w:val="single" w:color="auto" w:sz="4" w:space="0"/>
              <w:right w:val="single" w:color="auto" w:sz="4" w:space="0"/>
            </w:tcBorders>
            <w:vAlign w:val="center"/>
          </w:tcPr>
          <w:p w14:paraId="5B878FF3">
            <w:pPr>
              <w:widowControl/>
              <w:jc w:val="center"/>
              <w:rPr>
                <w:rFonts w:ascii="宋体" w:hAnsi="宋体" w:eastAsia="宋体" w:cs="宋体"/>
                <w:color w:val="auto"/>
                <w:kern w:val="0"/>
                <w:sz w:val="22"/>
              </w:rPr>
            </w:pPr>
            <w:r>
              <w:rPr>
                <w:rFonts w:ascii="宋体" w:hAnsi="宋体" w:eastAsia="宋体" w:cs="宋体"/>
                <w:color w:val="auto"/>
                <w:kern w:val="0"/>
                <w:sz w:val="22"/>
              </w:rPr>
              <w:t>2260*800*600</w:t>
            </w:r>
          </w:p>
        </w:tc>
        <w:tc>
          <w:tcPr>
            <w:tcW w:w="312" w:type="pct"/>
            <w:tcBorders>
              <w:top w:val="nil"/>
              <w:left w:val="nil"/>
              <w:bottom w:val="single" w:color="auto" w:sz="4" w:space="0"/>
              <w:right w:val="single" w:color="auto" w:sz="4" w:space="0"/>
            </w:tcBorders>
            <w:vAlign w:val="center"/>
          </w:tcPr>
          <w:p w14:paraId="7AAA4486">
            <w:pPr>
              <w:widowControl/>
              <w:jc w:val="center"/>
              <w:rPr>
                <w:rFonts w:ascii="宋体" w:hAnsi="宋体" w:eastAsia="宋体" w:cs="宋体"/>
                <w:color w:val="auto"/>
                <w:kern w:val="0"/>
                <w:sz w:val="22"/>
              </w:rPr>
            </w:pPr>
            <w:r>
              <w:rPr>
                <w:rFonts w:ascii="宋体" w:hAnsi="宋体" w:eastAsia="宋体" w:cs="宋体"/>
                <w:color w:val="auto"/>
                <w:kern w:val="0"/>
                <w:sz w:val="22"/>
              </w:rPr>
              <w:t>面</w:t>
            </w:r>
          </w:p>
        </w:tc>
        <w:tc>
          <w:tcPr>
            <w:tcW w:w="395" w:type="pct"/>
            <w:tcBorders>
              <w:top w:val="nil"/>
              <w:left w:val="nil"/>
              <w:bottom w:val="single" w:color="auto" w:sz="4" w:space="0"/>
              <w:right w:val="single" w:color="auto" w:sz="4" w:space="0"/>
            </w:tcBorders>
            <w:vAlign w:val="center"/>
          </w:tcPr>
          <w:p w14:paraId="7113D46B">
            <w:pPr>
              <w:widowControl/>
              <w:jc w:val="center"/>
              <w:rPr>
                <w:rFonts w:ascii="宋体" w:hAnsi="宋体" w:eastAsia="宋体" w:cs="宋体"/>
                <w:color w:val="auto"/>
                <w:kern w:val="0"/>
                <w:sz w:val="22"/>
              </w:rPr>
            </w:pPr>
            <w:r>
              <w:rPr>
                <w:rFonts w:ascii="宋体" w:hAnsi="宋体" w:eastAsia="宋体" w:cs="宋体"/>
                <w:color w:val="auto"/>
                <w:kern w:val="0"/>
                <w:sz w:val="22"/>
              </w:rPr>
              <w:t>1</w:t>
            </w:r>
          </w:p>
        </w:tc>
        <w:tc>
          <w:tcPr>
            <w:tcW w:w="973" w:type="pct"/>
            <w:tcBorders>
              <w:top w:val="nil"/>
              <w:left w:val="nil"/>
              <w:bottom w:val="single" w:color="auto" w:sz="4" w:space="0"/>
              <w:right w:val="single" w:color="auto" w:sz="4" w:space="0"/>
            </w:tcBorders>
            <w:vAlign w:val="center"/>
          </w:tcPr>
          <w:p w14:paraId="20C903EF">
            <w:pPr>
              <w:widowControl/>
              <w:jc w:val="center"/>
              <w:rPr>
                <w:rFonts w:ascii="宋体" w:hAnsi="宋体" w:eastAsia="宋体" w:cs="宋体"/>
                <w:color w:val="auto"/>
                <w:kern w:val="0"/>
                <w:sz w:val="22"/>
              </w:rPr>
            </w:pPr>
            <w:r>
              <w:rPr>
                <w:rFonts w:ascii="宋体" w:hAnsi="宋体" w:eastAsia="宋体" w:cs="宋体"/>
                <w:color w:val="auto"/>
                <w:kern w:val="0"/>
                <w:sz w:val="22"/>
              </w:rPr>
              <w:t>　</w:t>
            </w:r>
          </w:p>
        </w:tc>
      </w:tr>
    </w:tbl>
    <w:p w14:paraId="5E19D452">
      <w:pPr>
        <w:spacing w:line="360" w:lineRule="auto"/>
        <w:rPr>
          <w:rFonts w:ascii="Times New Roman" w:hAnsi="Times New Roman" w:eastAsia="宋体" w:cs="Times New Roman"/>
          <w:color w:val="auto"/>
          <w:sz w:val="24"/>
          <w:szCs w:val="24"/>
        </w:rPr>
      </w:pPr>
    </w:p>
    <w:p w14:paraId="316741EF">
      <w:pPr>
        <w:spacing w:before="120" w:after="120" w:line="360" w:lineRule="auto"/>
        <w:jc w:val="left"/>
        <w:outlineLvl w:val="0"/>
        <w:rPr>
          <w:rFonts w:ascii="宋体" w:hAnsi="宋体" w:eastAsia="宋体"/>
          <w:b/>
          <w:bCs/>
          <w:color w:val="auto"/>
          <w:sz w:val="30"/>
          <w:szCs w:val="30"/>
        </w:rPr>
      </w:pPr>
      <w:bookmarkStart w:id="122" w:name="_Toc244176146"/>
      <w:bookmarkStart w:id="123" w:name="_Toc244176415"/>
      <w:r>
        <w:rPr>
          <w:rFonts w:hint="eastAsia" w:ascii="宋体" w:hAnsi="宋体" w:eastAsia="宋体"/>
          <w:b/>
          <w:bCs/>
          <w:color w:val="auto"/>
          <w:sz w:val="30"/>
          <w:szCs w:val="30"/>
        </w:rPr>
        <w:t>六、</w:t>
      </w:r>
      <w:r>
        <w:rPr>
          <w:rFonts w:ascii="宋体" w:hAnsi="宋体" w:eastAsia="宋体"/>
          <w:b/>
          <w:bCs/>
          <w:color w:val="auto"/>
          <w:sz w:val="30"/>
          <w:szCs w:val="30"/>
        </w:rPr>
        <w:t>试验、调试与验收</w:t>
      </w:r>
      <w:bookmarkEnd w:id="122"/>
      <w:bookmarkEnd w:id="123"/>
    </w:p>
    <w:p w14:paraId="2B006158">
      <w:pPr>
        <w:spacing w:before="120" w:after="120" w:line="360" w:lineRule="auto"/>
        <w:jc w:val="left"/>
        <w:outlineLvl w:val="1"/>
        <w:rPr>
          <w:rFonts w:hint="eastAsia" w:ascii="宋体" w:hAnsi="宋体" w:eastAsia="宋体"/>
          <w:b/>
          <w:bCs/>
          <w:color w:val="auto"/>
          <w:sz w:val="28"/>
          <w:szCs w:val="28"/>
        </w:rPr>
      </w:pPr>
      <w:bookmarkStart w:id="124" w:name="_Toc244176416"/>
      <w:bookmarkStart w:id="125" w:name="_Toc244176147"/>
      <w:r>
        <w:rPr>
          <w:rFonts w:hint="eastAsia" w:ascii="宋体" w:hAnsi="宋体" w:eastAsia="宋体"/>
          <w:b/>
          <w:bCs/>
          <w:color w:val="auto"/>
          <w:sz w:val="28"/>
          <w:szCs w:val="28"/>
        </w:rPr>
        <w:t>6.1 出厂检验</w:t>
      </w:r>
      <w:bookmarkEnd w:id="124"/>
      <w:bookmarkEnd w:id="125"/>
    </w:p>
    <w:p w14:paraId="39567697">
      <w:pPr>
        <w:topLinePunct/>
        <w:spacing w:line="360" w:lineRule="auto"/>
        <w:ind w:firstLine="480" w:firstLineChars="200"/>
        <w:jc w:val="left"/>
        <w:rPr>
          <w:rFonts w:hint="eastAsia" w:ascii="Times New Roman" w:hAnsi="Times New Roman" w:eastAsia="宋体" w:cs="Times New Roman"/>
          <w:bCs/>
          <w:color w:val="auto"/>
          <w:kern w:val="21"/>
          <w:sz w:val="24"/>
          <w:szCs w:val="24"/>
        </w:rPr>
      </w:pPr>
      <w:r>
        <w:rPr>
          <w:rFonts w:hint="eastAsia" w:ascii="Times New Roman" w:hAnsi="Times New Roman" w:eastAsia="宋体" w:cs="Times New Roman"/>
          <w:bCs/>
          <w:color w:val="auto"/>
          <w:kern w:val="21"/>
          <w:sz w:val="24"/>
          <w:szCs w:val="24"/>
        </w:rPr>
        <w:t>网关、采集终端出厂配套合格证、出厂检测报告。软件提供版本说明、功能测试报告。</w:t>
      </w:r>
    </w:p>
    <w:p w14:paraId="1D7569DE">
      <w:pPr>
        <w:spacing w:before="120" w:after="120" w:line="360" w:lineRule="auto"/>
        <w:jc w:val="left"/>
        <w:outlineLvl w:val="1"/>
        <w:rPr>
          <w:rFonts w:hint="eastAsia" w:ascii="宋体" w:hAnsi="宋体" w:eastAsia="宋体"/>
          <w:b/>
          <w:bCs/>
          <w:color w:val="auto"/>
          <w:sz w:val="28"/>
          <w:szCs w:val="28"/>
        </w:rPr>
      </w:pPr>
      <w:bookmarkStart w:id="126" w:name="_Toc244176148"/>
      <w:bookmarkStart w:id="127" w:name="_Toc244176417"/>
      <w:r>
        <w:rPr>
          <w:rFonts w:hint="eastAsia" w:ascii="宋体" w:hAnsi="宋体" w:eastAsia="宋体"/>
          <w:b/>
          <w:bCs/>
          <w:color w:val="auto"/>
          <w:sz w:val="28"/>
          <w:szCs w:val="28"/>
        </w:rPr>
        <w:t>6.2 现场调试</w:t>
      </w:r>
      <w:bookmarkEnd w:id="126"/>
      <w:bookmarkEnd w:id="127"/>
    </w:p>
    <w:p w14:paraId="757CB875">
      <w:pPr>
        <w:topLinePunct/>
        <w:spacing w:line="360" w:lineRule="auto"/>
        <w:ind w:firstLine="480" w:firstLineChars="200"/>
        <w:jc w:val="left"/>
        <w:rPr>
          <w:rFonts w:hint="eastAsia" w:ascii="Times New Roman" w:hAnsi="Times New Roman" w:eastAsia="宋体" w:cs="Times New Roman"/>
          <w:bCs/>
          <w:color w:val="auto"/>
          <w:kern w:val="21"/>
          <w:sz w:val="24"/>
          <w:szCs w:val="24"/>
        </w:rPr>
      </w:pPr>
      <w:r>
        <w:rPr>
          <w:rFonts w:hint="eastAsia" w:ascii="Times New Roman" w:hAnsi="Times New Roman" w:eastAsia="宋体" w:cs="Times New Roman"/>
          <w:bCs/>
          <w:color w:val="auto"/>
          <w:kern w:val="21"/>
          <w:sz w:val="24"/>
          <w:szCs w:val="24"/>
        </w:rPr>
        <w:t>投标人负责平台部署、点位核对、终端安装接线、通信调试、平台点位对点、告警测试、工单流程测试、报表验证、对接联调。</w:t>
      </w:r>
    </w:p>
    <w:p w14:paraId="154B52ED">
      <w:pPr>
        <w:spacing w:before="120" w:after="120" w:line="360" w:lineRule="auto"/>
        <w:jc w:val="left"/>
        <w:outlineLvl w:val="1"/>
        <w:rPr>
          <w:rFonts w:hint="eastAsia" w:ascii="宋体" w:hAnsi="宋体" w:eastAsia="宋体"/>
          <w:b/>
          <w:bCs/>
          <w:color w:val="auto"/>
          <w:sz w:val="28"/>
          <w:szCs w:val="28"/>
        </w:rPr>
      </w:pPr>
      <w:bookmarkStart w:id="128" w:name="_Toc244176418"/>
      <w:bookmarkStart w:id="129" w:name="_Toc244176149"/>
      <w:r>
        <w:rPr>
          <w:rFonts w:hint="eastAsia" w:ascii="宋体" w:hAnsi="宋体" w:eastAsia="宋体"/>
          <w:b/>
          <w:bCs/>
          <w:color w:val="auto"/>
          <w:sz w:val="28"/>
          <w:szCs w:val="28"/>
        </w:rPr>
        <w:t>6.3 验收标准</w:t>
      </w:r>
      <w:bookmarkEnd w:id="128"/>
      <w:bookmarkEnd w:id="129"/>
    </w:p>
    <w:p w14:paraId="2467629F">
      <w:pPr>
        <w:topLinePunct/>
        <w:spacing w:line="360" w:lineRule="auto"/>
        <w:ind w:firstLine="480" w:firstLineChars="200"/>
        <w:jc w:val="left"/>
        <w:rPr>
          <w:rFonts w:hint="eastAsia" w:ascii="Times New Roman" w:hAnsi="Times New Roman" w:eastAsia="宋体" w:cs="Times New Roman"/>
          <w:bCs/>
          <w:color w:val="auto"/>
          <w:kern w:val="21"/>
          <w:sz w:val="24"/>
          <w:szCs w:val="24"/>
        </w:rPr>
      </w:pPr>
      <w:r>
        <w:rPr>
          <w:rFonts w:hint="eastAsia" w:ascii="Times New Roman" w:hAnsi="Times New Roman" w:eastAsia="宋体" w:cs="Times New Roman"/>
          <w:bCs/>
          <w:color w:val="auto"/>
          <w:kern w:val="21"/>
          <w:sz w:val="24"/>
          <w:szCs w:val="24"/>
        </w:rPr>
        <w:t>1. 所有监测点位数据稳定上传，数值准确；</w:t>
      </w:r>
    </w:p>
    <w:p w14:paraId="2D3F30E6">
      <w:pPr>
        <w:topLinePunct/>
        <w:spacing w:line="360" w:lineRule="auto"/>
        <w:ind w:firstLine="480" w:firstLineChars="200"/>
        <w:jc w:val="left"/>
        <w:rPr>
          <w:rFonts w:hint="eastAsia" w:ascii="Times New Roman" w:hAnsi="Times New Roman" w:eastAsia="宋体" w:cs="Times New Roman"/>
          <w:bCs/>
          <w:color w:val="auto"/>
          <w:kern w:val="21"/>
          <w:sz w:val="24"/>
          <w:szCs w:val="24"/>
        </w:rPr>
      </w:pPr>
      <w:r>
        <w:rPr>
          <w:rFonts w:hint="eastAsia" w:ascii="Times New Roman" w:hAnsi="Times New Roman" w:eastAsia="宋体" w:cs="Times New Roman"/>
          <w:bCs/>
          <w:color w:val="auto"/>
          <w:kern w:val="21"/>
          <w:sz w:val="24"/>
          <w:szCs w:val="24"/>
        </w:rPr>
        <w:t>2. 各类告警触发、推送、闭环功能正常；</w:t>
      </w:r>
    </w:p>
    <w:p w14:paraId="6C43B7CD">
      <w:pPr>
        <w:topLinePunct/>
        <w:spacing w:line="360" w:lineRule="auto"/>
        <w:ind w:firstLine="480" w:firstLineChars="200"/>
        <w:jc w:val="left"/>
        <w:rPr>
          <w:rFonts w:hint="eastAsia" w:ascii="Times New Roman" w:hAnsi="Times New Roman" w:eastAsia="宋体" w:cs="Times New Roman"/>
          <w:bCs/>
          <w:color w:val="auto"/>
          <w:kern w:val="21"/>
          <w:sz w:val="24"/>
          <w:szCs w:val="24"/>
        </w:rPr>
      </w:pPr>
      <w:r>
        <w:rPr>
          <w:rFonts w:hint="eastAsia" w:ascii="Times New Roman" w:hAnsi="Times New Roman" w:eastAsia="宋体" w:cs="Times New Roman"/>
          <w:bCs/>
          <w:color w:val="auto"/>
          <w:kern w:val="21"/>
          <w:sz w:val="24"/>
          <w:szCs w:val="24"/>
        </w:rPr>
        <w:t>3. 工单、台账、报表、曲线功能满足本规范；</w:t>
      </w:r>
    </w:p>
    <w:p w14:paraId="7CEF21EA">
      <w:pPr>
        <w:topLinePunct/>
        <w:spacing w:line="360" w:lineRule="auto"/>
        <w:ind w:firstLine="480" w:firstLineChars="200"/>
        <w:jc w:val="left"/>
        <w:rPr>
          <w:rFonts w:hint="eastAsia" w:ascii="Times New Roman" w:hAnsi="Times New Roman" w:eastAsia="宋体" w:cs="Times New Roman"/>
          <w:bCs/>
          <w:color w:val="auto"/>
          <w:kern w:val="21"/>
          <w:sz w:val="24"/>
          <w:szCs w:val="24"/>
        </w:rPr>
      </w:pPr>
      <w:r>
        <w:rPr>
          <w:rFonts w:hint="eastAsia" w:ascii="Times New Roman" w:hAnsi="Times New Roman" w:eastAsia="宋体" w:cs="Times New Roman"/>
          <w:bCs/>
          <w:color w:val="auto"/>
          <w:kern w:val="21"/>
          <w:sz w:val="24"/>
          <w:szCs w:val="24"/>
        </w:rPr>
        <w:t>4. 对接接口数据交互稳定；</w:t>
      </w:r>
    </w:p>
    <w:p w14:paraId="7CF50451">
      <w:pPr>
        <w:topLinePunct/>
        <w:spacing w:line="360" w:lineRule="auto"/>
        <w:ind w:firstLine="480" w:firstLineChars="200"/>
        <w:jc w:val="left"/>
        <w:rPr>
          <w:rFonts w:hint="eastAsia" w:ascii="Times New Roman" w:hAnsi="Times New Roman" w:eastAsia="宋体" w:cs="Times New Roman"/>
          <w:bCs/>
          <w:color w:val="auto"/>
          <w:kern w:val="21"/>
          <w:sz w:val="24"/>
          <w:szCs w:val="24"/>
        </w:rPr>
      </w:pPr>
      <w:r>
        <w:rPr>
          <w:rFonts w:hint="eastAsia" w:ascii="Times New Roman" w:hAnsi="Times New Roman" w:eastAsia="宋体" w:cs="Times New Roman"/>
          <w:bCs/>
          <w:color w:val="auto"/>
          <w:kern w:val="21"/>
          <w:sz w:val="24"/>
          <w:szCs w:val="24"/>
        </w:rPr>
        <w:t>5. 连续试运行 7 天无批量离线、频繁误告警等重大问题；</w:t>
      </w:r>
    </w:p>
    <w:p w14:paraId="121311C3">
      <w:pPr>
        <w:topLinePunct/>
        <w:spacing w:line="360" w:lineRule="auto"/>
        <w:ind w:firstLine="480" w:firstLineChars="200"/>
        <w:jc w:val="left"/>
        <w:rPr>
          <w:rFonts w:ascii="Times New Roman" w:hAnsi="Times New Roman" w:eastAsia="宋体" w:cs="Times New Roman"/>
          <w:bCs/>
          <w:color w:val="auto"/>
          <w:kern w:val="21"/>
          <w:sz w:val="24"/>
          <w:szCs w:val="24"/>
        </w:rPr>
      </w:pPr>
      <w:r>
        <w:rPr>
          <w:rFonts w:hint="eastAsia" w:ascii="Times New Roman" w:hAnsi="Times New Roman" w:eastAsia="宋体" w:cs="Times New Roman"/>
          <w:bCs/>
          <w:color w:val="auto"/>
          <w:kern w:val="21"/>
          <w:sz w:val="24"/>
          <w:szCs w:val="24"/>
        </w:rPr>
        <w:t>6. 资料齐全，培训完成，双方签署验收报告。</w:t>
      </w:r>
    </w:p>
    <w:p w14:paraId="748102CA">
      <w:pPr>
        <w:tabs>
          <w:tab w:val="left" w:pos="720"/>
        </w:tabs>
        <w:spacing w:before="120" w:after="120" w:line="360" w:lineRule="auto"/>
        <w:jc w:val="left"/>
        <w:outlineLvl w:val="0"/>
        <w:rPr>
          <w:rFonts w:ascii="宋体" w:hAnsi="宋体" w:eastAsia="宋体"/>
          <w:b/>
          <w:bCs/>
          <w:color w:val="auto"/>
          <w:sz w:val="30"/>
          <w:szCs w:val="30"/>
        </w:rPr>
      </w:pPr>
      <w:bookmarkStart w:id="130" w:name="_Toc244176419"/>
      <w:bookmarkStart w:id="131" w:name="_Toc244176150"/>
      <w:r>
        <w:rPr>
          <w:rFonts w:hint="eastAsia" w:ascii="宋体" w:hAnsi="宋体" w:eastAsia="宋体"/>
          <w:b/>
          <w:bCs/>
          <w:color w:val="auto"/>
          <w:sz w:val="30"/>
          <w:szCs w:val="30"/>
        </w:rPr>
        <w:t>七、</w:t>
      </w:r>
      <w:r>
        <w:rPr>
          <w:rFonts w:ascii="宋体" w:hAnsi="宋体" w:eastAsia="宋体"/>
          <w:b/>
          <w:bCs/>
          <w:color w:val="auto"/>
          <w:sz w:val="30"/>
          <w:szCs w:val="30"/>
        </w:rPr>
        <w:t>技术资料交付</w:t>
      </w:r>
      <w:bookmarkEnd w:id="130"/>
      <w:bookmarkEnd w:id="131"/>
    </w:p>
    <w:p w14:paraId="07C1F11E">
      <w:pPr>
        <w:topLinePunct/>
        <w:spacing w:line="360" w:lineRule="auto"/>
        <w:ind w:firstLine="480" w:firstLineChars="200"/>
        <w:jc w:val="left"/>
        <w:rPr>
          <w:rFonts w:hint="eastAsia" w:ascii="Times New Roman" w:hAnsi="Times New Roman" w:eastAsia="宋体" w:cs="Times New Roman"/>
          <w:bCs/>
          <w:color w:val="auto"/>
          <w:kern w:val="21"/>
          <w:sz w:val="24"/>
          <w:szCs w:val="24"/>
        </w:rPr>
      </w:pPr>
      <w:r>
        <w:rPr>
          <w:rFonts w:hint="eastAsia" w:ascii="Times New Roman" w:hAnsi="Times New Roman" w:eastAsia="宋体" w:cs="Times New Roman"/>
          <w:bCs/>
          <w:color w:val="auto"/>
          <w:kern w:val="21"/>
          <w:sz w:val="24"/>
          <w:szCs w:val="24"/>
        </w:rPr>
        <w:t>1. 系统总体方案、系统拓扑图</w:t>
      </w:r>
    </w:p>
    <w:p w14:paraId="364BB5A2">
      <w:pPr>
        <w:topLinePunct/>
        <w:spacing w:line="360" w:lineRule="auto"/>
        <w:ind w:firstLine="480" w:firstLineChars="200"/>
        <w:jc w:val="left"/>
        <w:rPr>
          <w:rFonts w:hint="eastAsia" w:ascii="Times New Roman" w:hAnsi="Times New Roman" w:eastAsia="宋体" w:cs="Times New Roman"/>
          <w:bCs/>
          <w:color w:val="auto"/>
          <w:kern w:val="21"/>
          <w:sz w:val="24"/>
          <w:szCs w:val="24"/>
        </w:rPr>
      </w:pPr>
      <w:r>
        <w:rPr>
          <w:rFonts w:hint="eastAsia" w:ascii="Times New Roman" w:hAnsi="Times New Roman" w:eastAsia="宋体" w:cs="Times New Roman"/>
          <w:bCs/>
          <w:color w:val="auto"/>
          <w:kern w:val="21"/>
          <w:sz w:val="24"/>
          <w:szCs w:val="24"/>
        </w:rPr>
        <w:t>2. 平台操作手册、运维手册</w:t>
      </w:r>
    </w:p>
    <w:p w14:paraId="1183E85D">
      <w:pPr>
        <w:topLinePunct/>
        <w:spacing w:line="360" w:lineRule="auto"/>
        <w:ind w:firstLine="480" w:firstLineChars="200"/>
        <w:jc w:val="left"/>
        <w:rPr>
          <w:rFonts w:hint="eastAsia" w:ascii="Times New Roman" w:hAnsi="Times New Roman" w:eastAsia="宋体" w:cs="Times New Roman"/>
          <w:bCs/>
          <w:color w:val="auto"/>
          <w:kern w:val="21"/>
          <w:sz w:val="24"/>
          <w:szCs w:val="24"/>
        </w:rPr>
      </w:pPr>
      <w:r>
        <w:rPr>
          <w:rFonts w:hint="eastAsia" w:ascii="Times New Roman" w:hAnsi="Times New Roman" w:eastAsia="宋体" w:cs="Times New Roman"/>
          <w:bCs/>
          <w:color w:val="auto"/>
          <w:kern w:val="21"/>
          <w:sz w:val="24"/>
          <w:szCs w:val="24"/>
        </w:rPr>
        <w:t>3. 网关、采集终端说明书、接线图</w:t>
      </w:r>
    </w:p>
    <w:p w14:paraId="0C75E977">
      <w:pPr>
        <w:topLinePunct/>
        <w:spacing w:line="360" w:lineRule="auto"/>
        <w:ind w:firstLine="480" w:firstLineChars="200"/>
        <w:jc w:val="left"/>
        <w:rPr>
          <w:rFonts w:hint="eastAsia" w:ascii="Times New Roman" w:hAnsi="Times New Roman" w:eastAsia="宋体" w:cs="Times New Roman"/>
          <w:bCs/>
          <w:color w:val="auto"/>
          <w:kern w:val="21"/>
          <w:sz w:val="24"/>
          <w:szCs w:val="24"/>
        </w:rPr>
      </w:pPr>
      <w:r>
        <w:rPr>
          <w:rFonts w:hint="eastAsia" w:ascii="Times New Roman" w:hAnsi="Times New Roman" w:eastAsia="宋体" w:cs="Times New Roman"/>
          <w:bCs/>
          <w:color w:val="auto"/>
          <w:kern w:val="21"/>
          <w:sz w:val="24"/>
          <w:szCs w:val="24"/>
        </w:rPr>
        <w:t>4. 点位表、测点清单、通信参数表</w:t>
      </w:r>
    </w:p>
    <w:p w14:paraId="2C7DCE1B">
      <w:pPr>
        <w:topLinePunct/>
        <w:spacing w:line="360" w:lineRule="auto"/>
        <w:ind w:firstLine="480" w:firstLineChars="200"/>
        <w:jc w:val="left"/>
        <w:rPr>
          <w:rFonts w:hint="eastAsia" w:ascii="Times New Roman" w:hAnsi="Times New Roman" w:eastAsia="宋体" w:cs="Times New Roman"/>
          <w:bCs/>
          <w:color w:val="auto"/>
          <w:kern w:val="21"/>
          <w:sz w:val="24"/>
          <w:szCs w:val="24"/>
        </w:rPr>
      </w:pPr>
      <w:r>
        <w:rPr>
          <w:rFonts w:hint="eastAsia" w:ascii="Times New Roman" w:hAnsi="Times New Roman" w:eastAsia="宋体" w:cs="Times New Roman"/>
          <w:bCs/>
          <w:color w:val="auto"/>
          <w:kern w:val="21"/>
          <w:sz w:val="24"/>
          <w:szCs w:val="24"/>
        </w:rPr>
        <w:t>5. 试运行报告、验收资料</w:t>
      </w:r>
    </w:p>
    <w:p w14:paraId="11172BA9">
      <w:pPr>
        <w:tabs>
          <w:tab w:val="left" w:pos="720"/>
        </w:tabs>
        <w:spacing w:before="120" w:after="120" w:line="360" w:lineRule="auto"/>
        <w:jc w:val="left"/>
        <w:outlineLvl w:val="0"/>
        <w:rPr>
          <w:rFonts w:ascii="宋体" w:hAnsi="宋体" w:eastAsia="宋体"/>
          <w:b/>
          <w:bCs/>
          <w:color w:val="auto"/>
          <w:sz w:val="30"/>
          <w:szCs w:val="30"/>
        </w:rPr>
      </w:pPr>
      <w:bookmarkStart w:id="132" w:name="_Toc244176420"/>
      <w:bookmarkStart w:id="133" w:name="_Toc244176151"/>
      <w:r>
        <w:rPr>
          <w:rFonts w:hint="eastAsia" w:ascii="宋体" w:hAnsi="宋体" w:eastAsia="宋体"/>
          <w:b/>
          <w:bCs/>
          <w:color w:val="auto"/>
          <w:sz w:val="30"/>
          <w:szCs w:val="30"/>
        </w:rPr>
        <w:t>八、</w:t>
      </w:r>
      <w:r>
        <w:rPr>
          <w:rFonts w:ascii="宋体" w:hAnsi="宋体" w:eastAsia="宋体"/>
          <w:b/>
          <w:bCs/>
          <w:color w:val="auto"/>
          <w:sz w:val="30"/>
          <w:szCs w:val="30"/>
        </w:rPr>
        <w:t>技术服务、培训与质量保证</w:t>
      </w:r>
      <w:bookmarkEnd w:id="132"/>
      <w:bookmarkEnd w:id="133"/>
    </w:p>
    <w:p w14:paraId="26857A9E">
      <w:pPr>
        <w:topLinePunct/>
        <w:spacing w:line="360" w:lineRule="auto"/>
        <w:ind w:firstLine="480" w:firstLineChars="200"/>
        <w:jc w:val="left"/>
        <w:rPr>
          <w:rFonts w:ascii="Times New Roman" w:hAnsi="Times New Roman" w:eastAsia="宋体" w:cs="Times New Roman"/>
          <w:bCs/>
          <w:color w:val="auto"/>
          <w:kern w:val="21"/>
          <w:sz w:val="24"/>
          <w:szCs w:val="24"/>
        </w:rPr>
      </w:pPr>
      <w:r>
        <w:rPr>
          <w:rFonts w:ascii="Times New Roman" w:hAnsi="Times New Roman" w:eastAsia="宋体" w:cs="Times New Roman"/>
          <w:bCs/>
          <w:color w:val="auto"/>
          <w:kern w:val="21"/>
          <w:sz w:val="24"/>
          <w:szCs w:val="24"/>
        </w:rPr>
        <w:t>质保期：自现场验收合格之日起不少于</w:t>
      </w:r>
      <w:r>
        <w:rPr>
          <w:rFonts w:hint="eastAsia" w:ascii="Times New Roman" w:hAnsi="Times New Roman" w:eastAsia="宋体" w:cs="Times New Roman"/>
          <w:bCs/>
          <w:color w:val="auto"/>
          <w:kern w:val="21"/>
          <w:sz w:val="24"/>
          <w:szCs w:val="24"/>
          <w:u w:val="single"/>
        </w:rPr>
        <w:t>12</w:t>
      </w:r>
      <w:r>
        <w:rPr>
          <w:rFonts w:ascii="Times New Roman" w:hAnsi="Times New Roman" w:eastAsia="宋体" w:cs="Times New Roman"/>
          <w:bCs/>
          <w:color w:val="auto"/>
          <w:kern w:val="21"/>
          <w:sz w:val="24"/>
          <w:szCs w:val="24"/>
        </w:rPr>
        <w:t xml:space="preserve">个月；质保期内因系统软件、网关终端产品质量、集成调试原因发生故障，投标人免费远程或上门排查修复、更换设备。人为损坏、雷击、供电异常、招标人私自修改程序不在质保范围。 </w:t>
      </w:r>
    </w:p>
    <w:p w14:paraId="701E0FB8">
      <w:pPr>
        <w:topLinePunct/>
        <w:spacing w:line="360" w:lineRule="auto"/>
        <w:ind w:firstLine="480" w:firstLineChars="200"/>
        <w:jc w:val="left"/>
        <w:rPr>
          <w:rFonts w:hint="eastAsia" w:ascii="Times New Roman" w:hAnsi="Times New Roman" w:eastAsia="宋体" w:cs="Times New Roman"/>
          <w:bCs/>
          <w:color w:val="auto"/>
          <w:kern w:val="21"/>
          <w:sz w:val="24"/>
          <w:szCs w:val="24"/>
        </w:rPr>
      </w:pPr>
      <w:r>
        <w:rPr>
          <w:rFonts w:hint="eastAsia" w:ascii="Times New Roman" w:hAnsi="Times New Roman" w:eastAsia="宋体" w:cs="Times New Roman"/>
          <w:bCs/>
          <w:color w:val="auto"/>
          <w:kern w:val="21"/>
          <w:sz w:val="24"/>
          <w:szCs w:val="24"/>
        </w:rPr>
        <w:t>培训：现场对甲方运维人员开展培训，包含平台操作、告警处置、工单使用、基础参数配置、简单故障排查。</w:t>
      </w:r>
    </w:p>
    <w:p w14:paraId="4C4DFF27">
      <w:pPr>
        <w:topLinePunct/>
        <w:spacing w:line="360" w:lineRule="auto"/>
        <w:ind w:firstLine="480" w:firstLineChars="200"/>
        <w:jc w:val="left"/>
        <w:rPr>
          <w:rFonts w:hint="eastAsia" w:ascii="Times New Roman" w:hAnsi="Times New Roman" w:eastAsia="宋体" w:cs="Times New Roman"/>
          <w:bCs/>
          <w:color w:val="auto"/>
          <w:kern w:val="21"/>
          <w:sz w:val="24"/>
          <w:szCs w:val="24"/>
        </w:rPr>
      </w:pPr>
      <w:r>
        <w:rPr>
          <w:rFonts w:hint="eastAsia" w:ascii="Times New Roman" w:hAnsi="Times New Roman" w:eastAsia="宋体" w:cs="Times New Roman"/>
          <w:bCs/>
          <w:color w:val="auto"/>
          <w:kern w:val="21"/>
          <w:sz w:val="24"/>
          <w:szCs w:val="24"/>
        </w:rPr>
        <w:t>故障响应：</w:t>
      </w:r>
      <w:r>
        <w:rPr>
          <w:rFonts w:hint="eastAsia" w:ascii="Times New Roman" w:hAnsi="Times New Roman" w:eastAsia="宋体" w:cs="Times New Roman"/>
          <w:bCs/>
          <w:color w:val="auto"/>
          <w:kern w:val="21"/>
          <w:sz w:val="24"/>
          <w:szCs w:val="24"/>
          <w:u w:val="single"/>
        </w:rPr>
        <w:t>7×24</w:t>
      </w:r>
      <w:r>
        <w:rPr>
          <w:rFonts w:hint="eastAsia" w:ascii="Times New Roman" w:hAnsi="Times New Roman" w:eastAsia="宋体" w:cs="Times New Roman"/>
          <w:bCs/>
          <w:color w:val="auto"/>
          <w:kern w:val="21"/>
          <w:sz w:val="24"/>
          <w:szCs w:val="24"/>
        </w:rPr>
        <w:t xml:space="preserve"> 小时远程技术支持；接到故障通知</w:t>
      </w:r>
      <w:r>
        <w:rPr>
          <w:rFonts w:hint="eastAsia" w:ascii="Times New Roman" w:hAnsi="Times New Roman" w:eastAsia="宋体" w:cs="Times New Roman"/>
          <w:bCs/>
          <w:color w:val="auto"/>
          <w:kern w:val="21"/>
          <w:sz w:val="24"/>
          <w:szCs w:val="24"/>
          <w:u w:val="single"/>
        </w:rPr>
        <w:t xml:space="preserve"> 2</w:t>
      </w:r>
      <w:r>
        <w:rPr>
          <w:rFonts w:hint="eastAsia" w:ascii="Times New Roman" w:hAnsi="Times New Roman" w:eastAsia="宋体" w:cs="Times New Roman"/>
          <w:bCs/>
          <w:color w:val="auto"/>
          <w:kern w:val="21"/>
          <w:sz w:val="24"/>
          <w:szCs w:val="24"/>
        </w:rPr>
        <w:t>小时内远程响应；如需现场服务</w:t>
      </w:r>
      <w:r>
        <w:rPr>
          <w:rFonts w:hint="eastAsia" w:ascii="Times New Roman" w:hAnsi="Times New Roman" w:eastAsia="宋体" w:cs="Times New Roman"/>
          <w:bCs/>
          <w:color w:val="auto"/>
          <w:kern w:val="21"/>
          <w:sz w:val="24"/>
          <w:szCs w:val="24"/>
          <w:u w:val="single"/>
        </w:rPr>
        <w:t xml:space="preserve"> 24</w:t>
      </w:r>
      <w:r>
        <w:rPr>
          <w:rFonts w:hint="eastAsia" w:ascii="Times New Roman" w:hAnsi="Times New Roman" w:eastAsia="宋体" w:cs="Times New Roman"/>
          <w:bCs/>
          <w:color w:val="auto"/>
          <w:kern w:val="21"/>
          <w:sz w:val="24"/>
          <w:szCs w:val="24"/>
        </w:rPr>
        <w:t>小时到达现场。</w:t>
      </w:r>
    </w:p>
    <w:p w14:paraId="2984E3BA">
      <w:pPr>
        <w:topLinePunct/>
        <w:spacing w:line="360" w:lineRule="auto"/>
        <w:ind w:firstLine="480" w:firstLineChars="200"/>
        <w:jc w:val="left"/>
        <w:rPr>
          <w:rFonts w:ascii="Times New Roman" w:hAnsi="Times New Roman" w:eastAsia="宋体" w:cs="Times New Roman"/>
          <w:bCs/>
          <w:color w:val="auto"/>
          <w:kern w:val="21"/>
          <w:sz w:val="24"/>
          <w:szCs w:val="24"/>
        </w:rPr>
      </w:pPr>
      <w:r>
        <w:rPr>
          <w:rFonts w:hint="eastAsia" w:ascii="Times New Roman" w:hAnsi="Times New Roman" w:eastAsia="宋体" w:cs="Times New Roman"/>
          <w:bCs/>
          <w:color w:val="auto"/>
          <w:kern w:val="21"/>
          <w:sz w:val="24"/>
          <w:szCs w:val="24"/>
        </w:rPr>
        <w:t>质保期满后，提供长期技术支持，维保服务可另行签订维保合同。</w:t>
      </w:r>
    </w:p>
    <w:p w14:paraId="371A35F6">
      <w:pPr>
        <w:spacing w:line="360" w:lineRule="auto"/>
        <w:rPr>
          <w:rFonts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rPr>
        <w:t>九、</w:t>
      </w:r>
      <w:r>
        <w:rPr>
          <w:rFonts w:ascii="Times New Roman" w:hAnsi="Times New Roman" w:eastAsia="宋体" w:cs="Times New Roman"/>
          <w:b/>
          <w:bCs/>
          <w:color w:val="auto"/>
          <w:sz w:val="24"/>
          <w:szCs w:val="24"/>
        </w:rPr>
        <w:t>其他要求</w:t>
      </w:r>
    </w:p>
    <w:p w14:paraId="14552FC6">
      <w:pPr>
        <w:topLinePunct/>
        <w:spacing w:line="360" w:lineRule="auto"/>
        <w:ind w:firstLine="480" w:firstLineChars="200"/>
        <w:jc w:val="left"/>
        <w:rPr>
          <w:rFonts w:ascii="Times New Roman" w:hAnsi="Times New Roman" w:eastAsia="宋体" w:cs="Times New Roman"/>
          <w:bCs/>
          <w:color w:val="auto"/>
          <w:kern w:val="21"/>
          <w:sz w:val="24"/>
          <w:szCs w:val="24"/>
        </w:rPr>
      </w:pPr>
      <w:r>
        <w:rPr>
          <w:rFonts w:ascii="Times New Roman" w:hAnsi="Times New Roman" w:eastAsia="宋体" w:cs="Times New Roman"/>
          <w:bCs/>
          <w:color w:val="auto"/>
          <w:kern w:val="21"/>
          <w:sz w:val="24"/>
          <w:szCs w:val="24"/>
        </w:rPr>
        <w:t xml:space="preserve">本规范为最低技术要求，投标人可提供优于本规范的方案，在投标文件中说明。 </w:t>
      </w:r>
    </w:p>
    <w:p w14:paraId="0394F2F7">
      <w:pPr>
        <w:topLinePunct/>
        <w:spacing w:line="360" w:lineRule="auto"/>
        <w:ind w:firstLine="480" w:firstLineChars="200"/>
        <w:jc w:val="left"/>
        <w:rPr>
          <w:rFonts w:ascii="Times New Roman" w:hAnsi="Times New Roman" w:eastAsia="宋体" w:cs="Times New Roman"/>
          <w:bCs/>
          <w:color w:val="auto"/>
          <w:kern w:val="21"/>
          <w:sz w:val="24"/>
          <w:szCs w:val="24"/>
        </w:rPr>
      </w:pPr>
      <w:r>
        <w:rPr>
          <w:rFonts w:ascii="Times New Roman" w:hAnsi="Times New Roman" w:eastAsia="宋体" w:cs="Times New Roman"/>
          <w:bCs/>
          <w:color w:val="auto"/>
          <w:kern w:val="21"/>
          <w:sz w:val="24"/>
          <w:szCs w:val="24"/>
        </w:rPr>
        <w:t>未尽事宜由双方协商确定。</w:t>
      </w:r>
    </w:p>
    <w:p w14:paraId="27EBD544">
      <w:pPr>
        <w:spacing w:line="360" w:lineRule="auto"/>
        <w:rPr>
          <w:rFonts w:ascii="Times New Roman" w:hAnsi="Times New Roman" w:eastAsia="宋体" w:cs="Times New Roman"/>
          <w:color w:val="auto"/>
          <w:sz w:val="24"/>
          <w:szCs w:val="24"/>
        </w:rPr>
      </w:pPr>
    </w:p>
    <w:p w14:paraId="3845E045">
      <w:pPr>
        <w:spacing w:line="360" w:lineRule="auto"/>
        <w:rPr>
          <w:rFonts w:ascii="Times New Roman" w:hAnsi="Times New Roman" w:eastAsia="宋体" w:cs="Times New Roman"/>
          <w:color w:val="auto"/>
          <w:sz w:val="24"/>
          <w:szCs w:val="24"/>
        </w:rPr>
      </w:pPr>
    </w:p>
    <w:p w14:paraId="496EC0A7">
      <w:pPr>
        <w:spacing w:line="360" w:lineRule="auto"/>
        <w:rPr>
          <w:rFonts w:hint="eastAsia" w:ascii="Times New Roman" w:hAnsi="Times New Roman" w:eastAsia="宋体" w:cs="Times New Roman"/>
          <w:color w:val="auto"/>
          <w:sz w:val="24"/>
          <w:szCs w:val="24"/>
        </w:rPr>
      </w:pPr>
    </w:p>
    <w:sectPr>
      <w:footerReference r:id="rId8" w:type="first"/>
      <w:headerReference r:id="rId6" w:type="default"/>
      <w:footerReference r:id="rId7" w:type="default"/>
      <w:pgSz w:w="11906" w:h="16838"/>
      <w:pgMar w:top="1418" w:right="1418" w:bottom="1418" w:left="1418" w:header="851" w:footer="992" w:gutter="0"/>
      <w:pgNumType w:start="1"/>
      <w:cols w:space="425" w:num="1"/>
      <w:docGrid w:type="lines" w:linePitch="312" w:charSpace="0"/>
    </w:sectPr>
  </w:body>
</w:document>
</file>

<file path=tbak/modified.xml>Fri Oct 30 15:10:13 2026
save:Fri Oct 30 15:10:28 2026

</file>